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 w:before="1600"/>
        <w:jc w:val="center"/>
      </w:pPr>
      <w:r>
        <w:rPr>
          <w:rFonts w:ascii="Arial" w:cs="Arial" w:eastAsia="Arial" w:hAnsi="Arial"/>
          <w:b/>
          <w:bCs/>
          <w:color w:val="8C7A6A"/>
          <w:spacing w:val="120"/>
          <w:sz w:val="18"/>
          <w:szCs w:val="18"/>
        </w:rPr>
        <w:t xml:space="preserve">CAMARA MUNICIPAL DE GUIMARAES</w:t>
      </w:r>
    </w:p>
    <w:p>
      <w:pPr>
        <w:spacing w:after="80" w:before="0"/>
        <w:jc w:val="center"/>
      </w:pPr>
      <w:r>
        <w:rPr>
          <w:rFonts w:ascii="Arial" w:cs="Arial" w:eastAsia="Arial" w:hAnsi="Arial"/>
          <w:color w:val="8C7A6A"/>
          <w:spacing w:val="80"/>
          <w:sz w:val="20"/>
          <w:szCs w:val="20"/>
        </w:rPr>
        <w:t xml:space="preserve">DOCUMENTO ESTRUTURANTE DO PROJECTO</w:t>
      </w:r>
    </w:p>
    <w:p>
      <w:pPr>
        <w:pBdr>
          <w:top w:val="single" w:color="C49A28" w:sz="4"/>
        </w:pBdr>
        <w:spacing w:after="0" w:before="600"/>
        <w:jc w:val="center"/>
      </w:pPr>
    </w:p>
    <w:p>
      <w:pPr>
        <w:spacing w:after="0" w:before="480"/>
        <w:jc w:val="center"/>
      </w:pPr>
      <w:r>
        <w:rPr>
          <w:rFonts w:ascii="Georgia" w:cs="Georgia" w:eastAsia="Georgia" w:hAnsi="Georgia"/>
          <w:color w:val="1B3527"/>
          <w:sz w:val="72"/>
          <w:szCs w:val="72"/>
        </w:rPr>
        <w:t xml:space="preserve">Berco da Nacao</w:t>
      </w:r>
    </w:p>
    <w:p>
      <w:pPr>
        <w:spacing w:after="80" w:before="40"/>
        <w:jc w:val="center"/>
      </w:pPr>
      <w:r>
        <w:rPr>
          <w:rFonts w:ascii="Georgia" w:cs="Georgia" w:eastAsia="Georgia" w:hAnsi="Georgia"/>
          <w:color w:val="C49A28"/>
          <w:sz w:val="32"/>
          <w:szCs w:val="32"/>
        </w:rPr>
        <w:t xml:space="preserve">Do Berco da Nacao ao Berco da Inovacao</w:t>
      </w:r>
    </w:p>
    <w:p>
      <w:pPr>
        <w:spacing w:after="80" w:before="20"/>
        <w:jc w:val="center"/>
      </w:pPr>
      <w:r>
        <w:rPr>
          <w:rFonts w:ascii="Arial" w:cs="Arial" w:eastAsia="Arial" w:hAnsi="Arial"/>
          <w:b/>
          <w:bCs/>
          <w:color w:val="2D5C42"/>
          <w:sz w:val="24"/>
          <w:szCs w:val="24"/>
        </w:rPr>
        <w:t xml:space="preserve">ORIGIN Summit - I Encontro Internacional de Operadores Turisticos</w:t>
      </w:r>
    </w:p>
    <w:p>
      <w:pPr>
        <w:pBdr>
          <w:bottom w:val="single" w:color="C49A28" w:sz="4"/>
        </w:pBdr>
        <w:spacing w:after="600" w:before="0"/>
        <w:jc w:val="center"/>
      </w:pPr>
    </w:p>
    <w:p>
      <w:pPr>
        <w:spacing w:after="120" w:before="400"/>
        <w:jc w:val="center"/>
      </w:pPr>
      <w:r>
        <w:rPr>
          <w:rFonts w:ascii="Arial" w:cs="Arial" w:eastAsia="Arial" w:hAnsi="Arial"/>
          <w:b/>
          <w:bCs/>
          <w:color w:val="1B3527"/>
          <w:sz w:val="28"/>
          <w:szCs w:val="28"/>
        </w:rPr>
        <w:t xml:space="preserve">Guimaraes - Portugal - Setembro 2027</w:t>
      </w:r>
    </w:p>
    <w:p>
      <w:pPr>
        <w:spacing w:after="120" w:before="0"/>
        <w:jc w:val="center"/>
      </w:pPr>
      <w:r>
        <w:rPr>
          <w:rFonts w:ascii="Arial" w:cs="Arial" w:eastAsia="Arial" w:hAnsi="Arial"/>
          <w:color w:val="8C7A6A"/>
          <w:sz w:val="22"/>
          <w:szCs w:val="22"/>
        </w:rPr>
        <w:t xml:space="preserve">No contexto das Comemoracoes dos 900 Anos da Batalha de Sao Mamede - 1128-2028</w:t>
      </w:r>
    </w:p>
    <w:p>
      <w:pPr>
        <w:spacing w:after="0" w:before="600"/>
        <w:jc w:val="center"/>
      </w:pPr>
      <w:r>
        <w:rPr>
          <w:rFonts w:ascii="Arial" w:cs="Arial" w:eastAsia="Arial" w:hAnsi="Arial"/>
          <w:color w:val="8C7A6A"/>
          <w:sz w:val="18"/>
          <w:szCs w:val="18"/>
        </w:rPr>
        <w:t xml:space="preserve">Versao: 2.1 - Confidencial - Para uso da Camara Municipal</w:t>
      </w:r>
    </w:p>
    <w:p>
      <w:r>
        <w:br w:type="page"/>
      </w:r>
    </w:p>
    <w:p>
      <w:pPr>
        <w:pStyle w:val="Heading1"/>
        <w:pBdr>
          <w:bottom w:val="single" w:color="C49A28" w:sz="8" w:space="1"/>
        </w:pBdr>
        <w:spacing w:after="160" w:before="480"/>
      </w:pPr>
      <w:r>
        <w:rPr>
          <w:rFonts w:ascii="Georgia" w:cs="Georgia" w:eastAsia="Georgia" w:hAnsi="Georgia"/>
          <w:b/>
          <w:bCs/>
          <w:color w:val="1B3527"/>
          <w:sz w:val="36"/>
          <w:szCs w:val="36"/>
        </w:rPr>
        <w:t xml:space="preserve">1. Enquadramento e Missao</w:t>
      </w:r>
    </w:p>
    <w:p>
      <w:pPr>
        <w:pStyle w:val="Heading2"/>
        <w:spacing w:after="120" w:before="320"/>
      </w:pPr>
      <w:r>
        <w:rPr>
          <w:rFonts w:ascii="Georgia" w:cs="Georgia" w:eastAsia="Georgia" w:hAnsi="Georgia"/>
          <w:b/>
          <w:bCs/>
          <w:color w:val="1B3527"/>
          <w:sz w:val="28"/>
          <w:szCs w:val="28"/>
        </w:rPr>
        <w:t xml:space="preserve">1.1 Conceito Central e Titulo do Evento</w:t>
      </w:r>
    </w:p>
    <w:p>
      <w:pPr>
        <w:spacing w:after="160" w:before="0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 projecto tem dois niveis de nomenclatura, cada um com uma funcao estrategica distinta:</w:t>
      </w:r>
    </w:p>
    <w:p>
      <w:pPr>
        <w:spacing w:after="0" w:before="8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3400"/>
        <w:gridCol w:w="3426"/>
      </w:tblGrid>
      <w:tr>
        <w:trPr>
          <w:tblHeader/>
        </w:trPr>
        <w:tc>
          <w:tcPr>
            <w:tcW w:type="dxa" w:w="2200"/>
            <w:tcBorders>
              <w:top w:val="single" w:color="1B3527" w:sz="4"/>
              <w:left w:val="single" w:color="1B3527" w:sz="4"/>
              <w:bottom w:val="single" w:color="1B3527" w:sz="4"/>
              <w:right w:val="single" w:color="1B3527" w:sz="4"/>
            </w:tcBorders>
            <w:shd w:fill="1B3527" w:val="clear"/>
            <w:tcMar>
              <w:top w:type="dxa" w:w="80"/>
              <w:left w:type="dxa" w:w="160"/>
              <w:bottom w:type="dxa" w:w="8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Nivel</w:t>
            </w:r>
          </w:p>
        </w:tc>
        <w:tc>
          <w:tcPr>
            <w:tcW w:type="dxa" w:w="3400"/>
            <w:tcBorders>
              <w:top w:val="single" w:color="1B3527" w:sz="4"/>
              <w:left w:val="single" w:color="1B3527" w:sz="4"/>
              <w:bottom w:val="single" w:color="1B3527" w:sz="4"/>
              <w:right w:val="single" w:color="1B3527" w:sz="4"/>
            </w:tcBorders>
            <w:shd w:fill="1B3527" w:val="clear"/>
            <w:tcMar>
              <w:top w:type="dxa" w:w="80"/>
              <w:left w:type="dxa" w:w="160"/>
              <w:bottom w:type="dxa" w:w="8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Designacao</w:t>
            </w:r>
          </w:p>
        </w:tc>
        <w:tc>
          <w:tcPr>
            <w:tcW w:type="dxa" w:w="3426"/>
            <w:tcBorders>
              <w:top w:val="single" w:color="1B3527" w:sz="4"/>
              <w:left w:val="single" w:color="1B3527" w:sz="4"/>
              <w:bottom w:val="single" w:color="1B3527" w:sz="4"/>
              <w:right w:val="single" w:color="1B3527" w:sz="4"/>
            </w:tcBorders>
            <w:shd w:fill="1B3527" w:val="clear"/>
            <w:tcMar>
              <w:top w:type="dxa" w:w="80"/>
              <w:left w:type="dxa" w:w="160"/>
              <w:bottom w:type="dxa" w:w="8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Funcao</w:t>
            </w:r>
          </w:p>
        </w:tc>
      </w:tr>
      <w:tr>
        <w:tc>
          <w:tcPr>
            <w:tcW w:type="dxa" w:w="22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Nome do Evento (publico)</w:t>
            </w:r>
          </w:p>
        </w:tc>
        <w:tc>
          <w:tcPr>
            <w:tcW w:type="dxa" w:w="34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Berco da Nacao</w:t>
            </w:r>
          </w:p>
        </w:tc>
        <w:tc>
          <w:tcPr>
            <w:tcW w:type="dxa" w:w="3426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Identidade da edicao de Guimaraes - uso em site, materiais e comunicacao</w:t>
            </w:r>
          </w:p>
        </w:tc>
      </w:tr>
      <w:tr>
        <w:tc>
          <w:tcPr>
            <w:tcW w:type="dxa" w:w="22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Marca Escalavel</w:t>
            </w:r>
          </w:p>
        </w:tc>
        <w:tc>
          <w:tcPr>
            <w:tcW w:type="dxa" w:w="34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ORIGIN Summit</w:t>
            </w:r>
          </w:p>
        </w:tc>
        <w:tc>
          <w:tcPr>
            <w:tcW w:type="dxa" w:w="3426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Nome da serie de eventos - permite crescer para outras cidades do Pentagono Urbano</w:t>
            </w:r>
          </w:p>
        </w:tc>
      </w:tr>
      <w:tr>
        <w:tc>
          <w:tcPr>
            <w:tcW w:type="dxa" w:w="22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Subtitulo Institucional</w:t>
            </w:r>
          </w:p>
        </w:tc>
        <w:tc>
          <w:tcPr>
            <w:tcW w:type="dxa" w:w="34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Do Berco da Nacao ao Berco da Inovacao</w:t>
            </w:r>
          </w:p>
        </w:tc>
        <w:tc>
          <w:tcPr>
            <w:tcW w:type="dxa" w:w="3426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Alinhamento com a visao do municipio - uso em documentos formais e candidaturas</w:t>
            </w:r>
          </w:p>
        </w:tc>
      </w:tr>
      <w:tr>
        <w:tc>
          <w:tcPr>
            <w:tcW w:type="dxa" w:w="22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Designacao Formal</w:t>
            </w:r>
          </w:p>
        </w:tc>
        <w:tc>
          <w:tcPr>
            <w:tcW w:type="dxa" w:w="34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I Encontro Internacional de Operadores Turisticos</w:t>
            </w:r>
          </w:p>
        </w:tc>
        <w:tc>
          <w:tcPr>
            <w:tcW w:type="dxa" w:w="3426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Uso em candidaturas a fundos publicos e documentos oficiais</w:t>
            </w:r>
          </w:p>
        </w:tc>
      </w:tr>
    </w:tbl>
    <w:p>
      <w:pPr>
        <w:spacing w:after="0" w:before="160"/>
      </w:pPr>
      <w:r>
        <w:t xml:space="preserve"/>
      </w:r>
    </w:p>
    <w:p>
      <w:pPr>
        <w:pBdr>
          <w:top w:val="single" w:color="C49A28" w:sz="4"/>
          <w:bottom w:val="single" w:color="C49A28" w:sz="4"/>
          <w:left w:val="single" w:color="C49A28" w:sz="20"/>
          <w:right w:val="none"/>
        </w:pBdr>
        <w:shd w:fill="FFF8E8" w:val="clear"/>
        <w:spacing w:after="160" w:before="160"/>
      </w:pPr>
      <w:r>
        <w:rPr>
          <w:rFonts w:ascii="Arial" w:cs="Arial" w:eastAsia="Arial" w:hAnsi="Arial"/>
          <w:b/>
          <w:bCs/>
          <w:color w:val="1B3527"/>
          <w:sz w:val="22"/>
          <w:szCs w:val="22"/>
        </w:rPr>
        <w:t xml:space="preserve">"Aqui nasceu Portugal. Aqui o mundo reencontra as suas origens."</w:t>
      </w:r>
    </w:p>
    <w:p>
      <w:pPr>
        <w:spacing w:after="0" w:before="120"/>
      </w:pPr>
      <w:r>
        <w:t xml:space="preserve"/>
      </w:r>
    </w:p>
    <w:p>
      <w:pPr>
        <w:pStyle w:val="Heading2"/>
        <w:spacing w:after="120" w:before="320"/>
      </w:pPr>
      <w:r>
        <w:rPr>
          <w:rFonts w:ascii="Georgia" w:cs="Georgia" w:eastAsia="Georgia" w:hAnsi="Georgia"/>
          <w:b/>
          <w:bCs/>
          <w:color w:val="1B3527"/>
          <w:sz w:val="28"/>
          <w:szCs w:val="28"/>
        </w:rPr>
        <w:t xml:space="preserve">1.2 Missao, Visao e Valores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b/>
          <w:bCs/>
          <w:color w:val="1B3527"/>
          <w:sz w:val="22"/>
          <w:szCs w:val="22"/>
        </w:rPr>
        <w:t xml:space="preserve">Missao: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Conectar operadores turisticos de todo o mundo com o territorio de Guimaraes - os seus produtores, espacos historicos, gastronomia, artesaos e comunidade - gerando acordos comerciais que duram e visitantes que regressam.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b/>
          <w:bCs/>
          <w:color w:val="1B3527"/>
          <w:sz w:val="22"/>
          <w:szCs w:val="22"/>
        </w:rPr>
        <w:t xml:space="preserve">Visao: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O maior encontro de operadores turisticos da Peninsula Iberica, com edicoes anuais a partir de Setembro de 2027 pelo Pentagono Urbano, crescendo ate as celebracoes do centenario em 2028.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b/>
          <w:bCs/>
          <w:color w:val="1B3527"/>
          <w:sz w:val="22"/>
          <w:szCs w:val="22"/>
        </w:rPr>
        <w:t xml:space="preserve">Valores: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Autenticidade - Territorio no centro - Ecossistema local primeiro - Sustentabilidade mensuravel - Transparencia institucional.</w:t>
      </w:r>
    </w:p>
    <w:p>
      <w:pPr>
        <w:spacing w:after="0" w:before="120"/>
      </w:pPr>
      <w:r>
        <w:t xml:space="preserve"/>
      </w:r>
    </w:p>
    <w:p>
      <w:pPr>
        <w:pStyle w:val="Heading2"/>
        <w:spacing w:after="120" w:before="320"/>
      </w:pPr>
      <w:r>
        <w:rPr>
          <w:rFonts w:ascii="Georgia" w:cs="Georgia" w:eastAsia="Georgia" w:hAnsi="Georgia"/>
          <w:b/>
          <w:bCs/>
          <w:color w:val="1B3527"/>
          <w:sz w:val="28"/>
          <w:szCs w:val="28"/>
        </w:rPr>
        <w:t xml:space="preserve">1.3 As Comemoracoes dos 900 Anos como Contexto Estrategico</w:t>
      </w:r>
    </w:p>
    <w:p>
      <w:pPr>
        <w:spacing w:after="160" w:before="0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 Governo de Portugal criou um Comissariado Nacional para as comemoracoes dos 900 Anos da Batalha de Sao Mamede, com arranque a 24 de Junho de 2026 e apogio em 2028. Este programa nacional representa uma oportunidade estrategica singular para o ORIGIN Summit: posicionar o evento no cruzamento entre a celebracao historica e a promocao turistica internacional do territorio.</w:t>
      </w:r>
    </w:p>
    <w:p>
      <w:pPr>
        <w:spacing w:after="160" w:before="0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As comemoracoes nao sao promotoras do evento - sao o contexto que o legitima, o argumento que o diferencia e a janela que abre candidaturas a apoio publico especifico.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As comemoracoes aumentam a visibilidade internacional de Guimaraes - o evento capitaliza essa atencao para gerar acordos comerciais com operadores de 22 paises.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 Comissariado Nacional preve a colaboracao com entidades privadas na promocao do territorio - o ORIGIN Summit enquadra-se neste perfil de iniciativa.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 enquadramento nas comemoracoes abre candidaturas especificas ao Ministerio da Cultura e a fundos europeus de Patrimonio.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Operadores presentes em Setembro 2027 regressam a casa com Guimaraes posicionada no contexto das celebracoes do centenario - argumento de venda unico.</w:t>
      </w:r>
    </w:p>
    <w:p>
      <w:pPr>
        <w:pBdr>
          <w:left w:val="single" w:color="C49A28" w:sz="16" w:space="4"/>
        </w:pBdr>
        <w:spacing w:after="80" w:before="80"/>
        <w:ind w:left="720"/>
      </w:pPr>
      <w:r>
        <w:rPr>
          <w:rFonts w:ascii="Arial" w:cs="Arial" w:eastAsia="Arial" w:hAnsi="Arial"/>
          <w:color w:val="8C7A6A"/>
          <w:sz w:val="20"/>
          <w:szCs w:val="20"/>
        </w:rPr>
        <w:t xml:space="preserve">Nota de posicionamento: o ORIGIN Summit nao e um evento oficial das comemoracoes nem tem vinculo formal com o Comissariado Nacional. E um projecto privado que usa o contexto das comemoracoes como argumento estrategico e como justificativa para candidaturas a apoio publico. A formalizacao de qualquer parceria com o Comissariado e um objectivo - nao um facto estabelecido.</w:t>
      </w:r>
    </w:p>
    <w:p>
      <w:pPr>
        <w:spacing w:after="0" w:before="120"/>
      </w:pPr>
      <w:r>
        <w:t xml:space="preserve"/>
      </w:r>
    </w:p>
    <w:p>
      <w:pPr>
        <w:pStyle w:val="Heading2"/>
        <w:spacing w:after="120" w:before="320"/>
      </w:pPr>
      <w:r>
        <w:rPr>
          <w:rFonts w:ascii="Georgia" w:cs="Georgia" w:eastAsia="Georgia" w:hAnsi="Georgia"/>
          <w:b/>
          <w:bCs/>
          <w:color w:val="1B3527"/>
          <w:sz w:val="28"/>
          <w:szCs w:val="28"/>
        </w:rPr>
        <w:t xml:space="preserve">1.4 Alinhamento com a Visao Municipal - Berco da Inovacao</w:t>
      </w:r>
    </w:p>
    <w:p>
      <w:pPr>
        <w:spacing w:after="160" w:before="0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 novo presidente da Camara Municipal, Ricardo Araujo (mandato 2025-2029), assumiu o compromisso de transformar Guimaraes no 'berco da inovacao' - complementando a identidade historica do 'berco da nacao' com uma visao de futuro centrada em conhecimento, tecnologia e progresso.</w:t>
      </w:r>
    </w:p>
    <w:p>
      <w:pPr>
        <w:spacing w:after="160" w:before="0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 ORIGIN Summit e o evento que concretiza esta visao no dominio do turismo: usa a heranca historica para atrair o mundo e posiciona Guimaraes como destino de inovacao e referencia global.</w:t>
      </w:r>
    </w:p>
    <w:p>
      <w:pPr>
        <w:pBdr>
          <w:top w:val="single" w:color="C49A28" w:sz="4"/>
          <w:bottom w:val="single" w:color="C49A28" w:sz="4"/>
          <w:left w:val="single" w:color="C49A28" w:sz="20"/>
          <w:right w:val="none"/>
        </w:pBdr>
        <w:shd w:fill="FFF8E8" w:val="clear"/>
        <w:spacing w:after="160" w:before="160"/>
      </w:pPr>
      <w:r>
        <w:rPr>
          <w:rFonts w:ascii="Arial" w:cs="Arial" w:eastAsia="Arial" w:hAnsi="Arial"/>
          <w:b/>
          <w:bCs/>
          <w:color w:val="1B3527"/>
          <w:sz w:val="22"/>
          <w:szCs w:val="22"/>
        </w:rPr>
        <w:t xml:space="preserve">Do Berco da Nacao ao Berco da Inovacao - Guimaraes recebe o mundo em Setembro 2027</w:t>
      </w:r>
    </w:p>
    <w:p>
      <w:r>
        <w:br w:type="page"/>
      </w:r>
    </w:p>
    <w:p>
      <w:pPr>
        <w:spacing w:after="0" w:before="400"/>
      </w:pPr>
      <w:r>
        <w:t xml:space="preserve"/>
      </w:r>
    </w:p>
    <w:p>
      <w:pPr>
        <w:shd w:fill="1B3527" w:val="clear"/>
        <w:spacing w:after="0" w:before="0"/>
      </w:pPr>
      <w:r>
        <w:rPr>
          <w:rFonts w:ascii="Arial" w:cs="Arial" w:eastAsia="Arial" w:hAnsi="Arial"/>
          <w:b/>
          <w:bCs/>
          <w:color w:val="FFFFFF"/>
          <w:spacing w:val="80"/>
          <w:sz w:val="28"/>
          <w:szCs w:val="28"/>
        </w:rPr>
        <w:t xml:space="preserve">  2. JUSTIFICACAO ESTRATEGICA DA DATA  </w:t>
      </w:r>
    </w:p>
    <w:p>
      <w:pPr>
        <w:shd w:fill="2D5C42" w:val="clear"/>
        <w:spacing w:after="200" w:before="0"/>
      </w:pPr>
      <w:r>
        <w:rPr>
          <w:rFonts w:ascii="Arial" w:cs="Arial" w:eastAsia="Arial" w:hAnsi="Arial"/>
          <w:color w:val="E8D5A3"/>
          <w:sz w:val="20"/>
          <w:szCs w:val="20"/>
        </w:rPr>
        <w:t xml:space="preserve">  Setembro 2027 - A escolha certa para o territorio</w:t>
      </w:r>
    </w:p>
    <w:p>
      <w:pPr>
        <w:pStyle w:val="Heading2"/>
        <w:spacing w:after="120" w:before="320"/>
      </w:pPr>
      <w:r>
        <w:rPr>
          <w:rFonts w:ascii="Georgia" w:cs="Georgia" w:eastAsia="Georgia" w:hAnsi="Georgia"/>
          <w:b/>
          <w:bCs/>
          <w:color w:val="1B3527"/>
          <w:sz w:val="28"/>
          <w:szCs w:val="28"/>
        </w:rPr>
        <w:t xml:space="preserve">2.1 Data Recomendada: 17 a 21 de Setembro de 2027</w:t>
      </w:r>
    </w:p>
    <w:p>
      <w:pPr>
        <w:pBdr>
          <w:top w:val="single" w:color="C49A28" w:sz="4"/>
          <w:bottom w:val="single" w:color="C49A28" w:sz="4"/>
          <w:left w:val="single" w:color="C49A28" w:sz="20"/>
          <w:right w:val="none"/>
        </w:pBdr>
        <w:shd w:fill="FFF8E8" w:val="clear"/>
        <w:spacing w:after="160" w:before="160"/>
      </w:pPr>
      <w:r>
        <w:rPr>
          <w:rFonts w:ascii="Arial" w:cs="Arial" w:eastAsia="Arial" w:hAnsi="Arial"/>
          <w:b/>
          <w:bCs/>
          <w:color w:val="1B3527"/>
          <w:sz w:val="22"/>
          <w:szCs w:val="22"/>
        </w:rPr>
        <w:t xml:space="preserve">Recomendacao: 17 a 21 de Setembro de 2027 - Quinta a Segunda</w:t>
      </w:r>
    </w:p>
    <w:p>
      <w:pPr>
        <w:spacing w:after="160" w:before="0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escolha de Setembro de 2027 resulta de analise criteriosa de cinco factores: sazonalidade turistica, clima, calendario de vindimas, agenda de planeamento dos operadores internacionais e ausencia de conflitos locais.</w:t>
      </w:r>
    </w:p>
    <w:p>
      <w:pPr>
        <w:spacing w:after="0" w:before="80"/>
      </w:pPr>
      <w:r>
        <w:t xml:space="preserve"/>
      </w:r>
    </w:p>
    <w:p>
      <w:pPr>
        <w:pStyle w:val="Heading3"/>
        <w:spacing w:after="80" w:before="240"/>
      </w:pPr>
      <w:r>
        <w:rPr>
          <w:rFonts w:ascii="Arial" w:cs="Arial" w:eastAsia="Arial" w:hAnsi="Arial"/>
          <w:b/>
          <w:bCs/>
          <w:color w:val="2D5C42"/>
          <w:sz w:val="24"/>
          <w:szCs w:val="24"/>
        </w:rPr>
        <w:t xml:space="preserve">2.1.1 Sazonalidade - O argumento dos alojamentos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b/>
          <w:bCs/>
          <w:color w:val="1B3527"/>
          <w:sz w:val="22"/>
          <w:szCs w:val="22"/>
        </w:rPr>
        <w:t xml:space="preserve">Disponibilidade crescente: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Com o turismo de Verao a recuar em Setembro, hoteis, pousadas e AL de Guimaraes estao com disponibilidade progressiva e negociam tarifas preferenciais para grupos - impossivel em Julho e Agosto.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b/>
          <w:bCs/>
          <w:color w:val="1B3527"/>
          <w:sz w:val="22"/>
          <w:szCs w:val="22"/>
        </w:rPr>
        <w:t xml:space="preserve">Tarifas negociaveis: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Transicao para baixa temporada permite negociar 20 a 35% abaixo dos valores de alta temporada.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b/>
          <w:bCs/>
          <w:color w:val="1B3527"/>
          <w:sz w:val="22"/>
          <w:szCs w:val="22"/>
        </w:rPr>
        <w:t xml:space="preserve">Servicos locais mais disponíveis: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Menor pressao de turismo de massas - guias, restaurantes e artesaos dedicam mais atencao e qualidade aos operadores.</w:t>
      </w:r>
    </w:p>
    <w:p>
      <w:pPr>
        <w:pBdr>
          <w:left w:val="single" w:color="C49A28" w:sz="16" w:space="4"/>
        </w:pBdr>
        <w:spacing w:after="80" w:before="80"/>
        <w:ind w:left="720"/>
      </w:pPr>
      <w:r>
        <w:rPr>
          <w:rFonts w:ascii="Arial" w:cs="Arial" w:eastAsia="Arial" w:hAnsi="Arial"/>
          <w:color w:val="8C7A6A"/>
          <w:sz w:val="20"/>
          <w:szCs w:val="20"/>
        </w:rPr>
        <w:t xml:space="preserve">Fonte: Turismo Porto e Norte - dados de ocupacao hoteleira Minho 2024 indicam quebra de 18-22% na ocupacao em Setembro face a Agosto.</w:t>
      </w:r>
    </w:p>
    <w:p>
      <w:pPr>
        <w:spacing w:after="0" w:before="80"/>
      </w:pPr>
      <w:r>
        <w:t xml:space="preserve"/>
      </w:r>
    </w:p>
    <w:p>
      <w:pPr>
        <w:pStyle w:val="Heading3"/>
        <w:spacing w:after="80" w:before="240"/>
      </w:pPr>
      <w:r>
        <w:rPr>
          <w:rFonts w:ascii="Arial" w:cs="Arial" w:eastAsia="Arial" w:hAnsi="Arial"/>
          <w:b/>
          <w:bCs/>
          <w:color w:val="2D5C42"/>
          <w:sz w:val="24"/>
          <w:szCs w:val="24"/>
        </w:rPr>
        <w:t xml:space="preserve">2.1.2 Clima - O argumento das famtrips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b/>
          <w:bCs/>
          <w:color w:val="1B3527"/>
          <w:sz w:val="22"/>
          <w:szCs w:val="22"/>
        </w:rPr>
        <w:t xml:space="preserve">Temperaturas ideais: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Entre 18 e 24 graus em Setembro no Norte de Portugal - confortaveis para visitas ao Castelo, Monte da Penha e Centro Historico.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b/>
          <w:bCs/>
          <w:color w:val="1B3527"/>
          <w:sz w:val="22"/>
          <w:szCs w:val="22"/>
        </w:rPr>
        <w:t xml:space="preserve">Luz natural prolongada: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Dias longos para fotografia e conteudo visual de qualidade para operadores e criadores de conteudo.</w:t>
      </w:r>
    </w:p>
    <w:p>
      <w:pPr>
        <w:pBdr>
          <w:left w:val="single" w:color="C49A28" w:sz="16" w:space="4"/>
        </w:pBdr>
        <w:spacing w:after="80" w:before="80"/>
        <w:ind w:left="720"/>
      </w:pPr>
      <w:r>
        <w:rPr>
          <w:rFonts w:ascii="Arial" w:cs="Arial" w:eastAsia="Arial" w:hAnsi="Arial"/>
          <w:color w:val="8C7A6A"/>
          <w:sz w:val="20"/>
          <w:szCs w:val="20"/>
        </w:rPr>
        <w:t xml:space="preserve">Fonte: Authentic Portugal - 'O clima permanece ameno, com temperaturas entre 15 e 25 graus em Setembro'.</w:t>
      </w:r>
    </w:p>
    <w:p>
      <w:pPr>
        <w:spacing w:after="0" w:before="80"/>
      </w:pPr>
      <w:r>
        <w:t xml:space="preserve"/>
      </w:r>
    </w:p>
    <w:p>
      <w:pPr>
        <w:pStyle w:val="Heading3"/>
        <w:spacing w:after="80" w:before="240"/>
      </w:pPr>
      <w:r>
        <w:rPr>
          <w:rFonts w:ascii="Arial" w:cs="Arial" w:eastAsia="Arial" w:hAnsi="Arial"/>
          <w:b/>
          <w:bCs/>
          <w:color w:val="2D5C42"/>
          <w:sz w:val="24"/>
          <w:szCs w:val="24"/>
        </w:rPr>
        <w:t xml:space="preserve">2.1.3 Vindimas - O argumento do Vinho Verde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b/>
          <w:bCs/>
          <w:color w:val="1B3527"/>
          <w:sz w:val="22"/>
          <w:szCs w:val="22"/>
        </w:rPr>
        <w:t xml:space="preserve">Quintas em plena actividade: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Operadores visitam quintas certificadas em plena vindima - observam, participam e provam o vinho novo directamente da prensa. Esta experiencia nao existe noutro mes do ano.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b/>
          <w:bCs/>
          <w:color w:val="1B3527"/>
          <w:sz w:val="22"/>
          <w:szCs w:val="22"/>
        </w:rPr>
        <w:t xml:space="preserve">Historia que vende: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Um operador que viveu a vindima numa quinta de Vinho Verde tem uma historia que os seus clientes vao querer comprar.</w:t>
      </w:r>
    </w:p>
    <w:p>
      <w:pPr>
        <w:pBdr>
          <w:left w:val="single" w:color="C49A28" w:sz="16" w:space="4"/>
        </w:pBdr>
        <w:spacing w:after="80" w:before="80"/>
        <w:ind w:left="720"/>
      </w:pPr>
      <w:r>
        <w:rPr>
          <w:rFonts w:ascii="Arial" w:cs="Arial" w:eastAsia="Arial" w:hAnsi="Arial"/>
          <w:color w:val="8C7A6A"/>
          <w:sz w:val="20"/>
          <w:szCs w:val="20"/>
        </w:rPr>
        <w:t xml:space="preserve">Fonte: Cultuga - 'Setembro e a epoca das vindimas, da colheita das uvas para a producao de vinho'.</w:t>
      </w:r>
    </w:p>
    <w:p>
      <w:pPr>
        <w:spacing w:after="0" w:before="80"/>
      </w:pPr>
      <w:r>
        <w:t xml:space="preserve"/>
      </w:r>
    </w:p>
    <w:p>
      <w:pPr>
        <w:pStyle w:val="Heading3"/>
        <w:spacing w:after="80" w:before="240"/>
      </w:pPr>
      <w:r>
        <w:rPr>
          <w:rFonts w:ascii="Arial" w:cs="Arial" w:eastAsia="Arial" w:hAnsi="Arial"/>
          <w:b/>
          <w:bCs/>
          <w:color w:val="2D5C42"/>
          <w:sz w:val="24"/>
          <w:szCs w:val="24"/>
        </w:rPr>
        <w:t xml:space="preserve">2.1.4 Agenda dos operadores internacionais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b/>
          <w:bCs/>
          <w:color w:val="1B3527"/>
          <w:sz w:val="22"/>
          <w:szCs w:val="22"/>
        </w:rPr>
        <w:t xml:space="preserve">Mercado brasileiro: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CVC, Flytour, Queensberry iniciam em Setembro o planeamento dos catalogos Europa para o ano seguinte. Presenca em Guimaraes em Setembro 2027 significa inclusao nos catalogos de 2028 - ano de apogio das comemoracoes.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b/>
          <w:bCs/>
          <w:color w:val="1B3527"/>
          <w:sz w:val="22"/>
          <w:szCs w:val="22"/>
        </w:rPr>
        <w:t xml:space="preserve">Antecede WTM e BTL: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O evento acontece antes da World Travel Market (Londres, Novembro) e da BTL (Lisboa, Marco) - operadores promovem Guimaraes nestas feiras com experiencia directa.</w:t>
      </w:r>
    </w:p>
    <w:p>
      <w:pPr>
        <w:spacing w:after="0" w:before="80"/>
      </w:pPr>
      <w:r>
        <w:t xml:space="preserve"/>
      </w:r>
    </w:p>
    <w:p>
      <w:pPr>
        <w:pStyle w:val="Heading3"/>
        <w:spacing w:after="80" w:before="240"/>
      </w:pPr>
      <w:r>
        <w:rPr>
          <w:rFonts w:ascii="Arial" w:cs="Arial" w:eastAsia="Arial" w:hAnsi="Arial"/>
          <w:b/>
          <w:bCs/>
          <w:color w:val="2D5C42"/>
          <w:sz w:val="24"/>
          <w:szCs w:val="24"/>
        </w:rPr>
        <w:t xml:space="preserve">2.1.5 Ausencia de conflitos em Guimaraes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b/>
          <w:bCs/>
          <w:color w:val="1B3527"/>
          <w:sz w:val="22"/>
          <w:szCs w:val="22"/>
        </w:rPr>
        <w:t xml:space="preserve">Festas Gualterianas (Agosto):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Completamente fora do periodo do evento.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b/>
          <w:bCs/>
          <w:color w:val="1B3527"/>
          <w:sz w:val="22"/>
          <w:szCs w:val="22"/>
        </w:rPr>
        <w:t xml:space="preserve">Nicolinas (Novembro/Dezembro):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Decorrem de 29 de Novembro a 7 de Dezembro - sem sobreposicao.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b/>
          <w:bCs/>
          <w:color w:val="1B3527"/>
          <w:sz w:val="22"/>
          <w:szCs w:val="22"/>
        </w:rPr>
        <w:t xml:space="preserve">Feriados nacionais: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Setembro nao tem feriados nacionais.</w:t>
      </w:r>
    </w:p>
    <w:p>
      <w:pPr>
        <w:spacing w:after="0" w:before="120"/>
      </w:pPr>
      <w:r>
        <w:t xml:space="preserve"/>
      </w:r>
    </w:p>
    <w:p>
      <w:pPr>
        <w:pStyle w:val="Heading2"/>
        <w:spacing w:after="120" w:before="320"/>
      </w:pPr>
      <w:r>
        <w:rPr>
          <w:rFonts w:ascii="Georgia" w:cs="Georgia" w:eastAsia="Georgia" w:hAnsi="Georgia"/>
          <w:b/>
          <w:bCs/>
          <w:color w:val="1B3527"/>
          <w:sz w:val="28"/>
          <w:szCs w:val="28"/>
        </w:rPr>
        <w:t xml:space="preserve">2.2 Tabela Comparativa de Alternativas</w:t>
      </w:r>
    </w:p>
    <w:p>
      <w:pPr>
        <w:spacing w:after="0" w:before="6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300"/>
        <w:gridCol w:w="1300"/>
        <w:gridCol w:w="1300"/>
        <w:gridCol w:w="1300"/>
        <w:gridCol w:w="1626"/>
      </w:tblGrid>
      <w:tr>
        <w:trPr>
          <w:tblHeader/>
        </w:trPr>
        <w:tc>
          <w:tcPr>
            <w:tcW w:type="dxa" w:w="2200"/>
            <w:tcBorders>
              <w:top w:val="single" w:color="1B3527" w:sz="4"/>
              <w:left w:val="single" w:color="1B3527" w:sz="4"/>
              <w:bottom w:val="single" w:color="1B3527" w:sz="4"/>
              <w:right w:val="single" w:color="1B3527" w:sz="4"/>
            </w:tcBorders>
            <w:shd w:fill="1B3527" w:val="clear"/>
            <w:tcMar>
              <w:top w:type="dxa" w:w="80"/>
              <w:left w:type="dxa" w:w="160"/>
              <w:bottom w:type="dxa" w:w="8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Criterio</w:t>
            </w:r>
          </w:p>
        </w:tc>
        <w:tc>
          <w:tcPr>
            <w:tcW w:type="dxa" w:w="1300"/>
            <w:tcBorders>
              <w:top w:val="single" w:color="1B3527" w:sz="4"/>
              <w:left w:val="single" w:color="1B3527" w:sz="4"/>
              <w:bottom w:val="single" w:color="1B3527" w:sz="4"/>
              <w:right w:val="single" w:color="1B3527" w:sz="4"/>
            </w:tcBorders>
            <w:shd w:fill="1B3527" w:val="clear"/>
            <w:tcMar>
              <w:top w:type="dxa" w:w="80"/>
              <w:left w:type="dxa" w:w="160"/>
              <w:bottom w:type="dxa" w:w="8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Jul/Ago</w:t>
            </w:r>
          </w:p>
        </w:tc>
        <w:tc>
          <w:tcPr>
            <w:tcW w:type="dxa" w:w="1300"/>
            <w:tcBorders>
              <w:top w:val="single" w:color="1B3527" w:sz="4"/>
              <w:left w:val="single" w:color="1B3527" w:sz="4"/>
              <w:bottom w:val="single" w:color="1B3527" w:sz="4"/>
              <w:right w:val="single" w:color="1B3527" w:sz="4"/>
            </w:tcBorders>
            <w:shd w:fill="1B3527" w:val="clear"/>
            <w:tcMar>
              <w:top w:type="dxa" w:w="80"/>
              <w:left w:type="dxa" w:w="160"/>
              <w:bottom w:type="dxa" w:w="8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Set</w:t>
            </w:r>
          </w:p>
        </w:tc>
        <w:tc>
          <w:tcPr>
            <w:tcW w:type="dxa" w:w="1300"/>
            <w:tcBorders>
              <w:top w:val="single" w:color="1B3527" w:sz="4"/>
              <w:left w:val="single" w:color="1B3527" w:sz="4"/>
              <w:bottom w:val="single" w:color="1B3527" w:sz="4"/>
              <w:right w:val="single" w:color="1B3527" w:sz="4"/>
            </w:tcBorders>
            <w:shd w:fill="1B3527" w:val="clear"/>
            <w:tcMar>
              <w:top w:type="dxa" w:w="80"/>
              <w:left w:type="dxa" w:w="160"/>
              <w:bottom w:type="dxa" w:w="8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Out</w:t>
            </w:r>
          </w:p>
        </w:tc>
        <w:tc>
          <w:tcPr>
            <w:tcW w:type="dxa" w:w="1300"/>
            <w:tcBorders>
              <w:top w:val="single" w:color="1B3527" w:sz="4"/>
              <w:left w:val="single" w:color="1B3527" w:sz="4"/>
              <w:bottom w:val="single" w:color="1B3527" w:sz="4"/>
              <w:right w:val="single" w:color="1B3527" w:sz="4"/>
            </w:tcBorders>
            <w:shd w:fill="1B3527" w:val="clear"/>
            <w:tcMar>
              <w:top w:type="dxa" w:w="80"/>
              <w:left w:type="dxa" w:w="160"/>
              <w:bottom w:type="dxa" w:w="8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Nov</w:t>
            </w:r>
          </w:p>
        </w:tc>
        <w:tc>
          <w:tcPr>
            <w:tcW w:type="dxa" w:w="1626"/>
            <w:tcBorders>
              <w:top w:val="single" w:color="1B3527" w:sz="4"/>
              <w:left w:val="single" w:color="1B3527" w:sz="4"/>
              <w:bottom w:val="single" w:color="1B3527" w:sz="4"/>
              <w:right w:val="single" w:color="1B3527" w:sz="4"/>
            </w:tcBorders>
            <w:shd w:fill="1B3527" w:val="clear"/>
            <w:tcMar>
              <w:top w:type="dxa" w:w="80"/>
              <w:left w:type="dxa" w:w="160"/>
              <w:bottom w:type="dxa" w:w="8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Dez</w:t>
            </w:r>
          </w:p>
        </w:tc>
      </w:tr>
      <w:tr>
        <w:tc>
          <w:tcPr>
            <w:tcW w:type="dxa" w:w="22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Sazonalidade/Alojamento</w:t>
            </w:r>
          </w:p>
        </w:tc>
        <w:tc>
          <w:tcPr>
            <w:tcW w:type="dxa" w:w="13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Alta</w:t>
            </w:r>
          </w:p>
        </w:tc>
        <w:tc>
          <w:tcPr>
            <w:tcW w:type="dxa" w:w="13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Transicao</w:t>
            </w:r>
          </w:p>
        </w:tc>
        <w:tc>
          <w:tcPr>
            <w:tcW w:type="dxa" w:w="13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Baixa</w:t>
            </w:r>
          </w:p>
        </w:tc>
        <w:tc>
          <w:tcPr>
            <w:tcW w:type="dxa" w:w="13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Baixa</w:t>
            </w:r>
          </w:p>
        </w:tc>
        <w:tc>
          <w:tcPr>
            <w:tcW w:type="dxa" w:w="1626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Natal</w:t>
            </w:r>
          </w:p>
        </w:tc>
      </w:tr>
      <w:tr>
        <w:tc>
          <w:tcPr>
            <w:tcW w:type="dxa" w:w="22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Clima / Famtrips</w:t>
            </w:r>
          </w:p>
        </w:tc>
        <w:tc>
          <w:tcPr>
            <w:tcW w:type="dxa" w:w="13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Calor</w:t>
            </w:r>
          </w:p>
        </w:tc>
        <w:tc>
          <w:tcPr>
            <w:tcW w:type="dxa" w:w="13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Ideal</w:t>
            </w:r>
          </w:p>
        </w:tc>
        <w:tc>
          <w:tcPr>
            <w:tcW w:type="dxa" w:w="13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Bom</w:t>
            </w:r>
          </w:p>
        </w:tc>
        <w:tc>
          <w:tcPr>
            <w:tcW w:type="dxa" w:w="13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Fresco</w:t>
            </w:r>
          </w:p>
        </w:tc>
        <w:tc>
          <w:tcPr>
            <w:tcW w:type="dxa" w:w="1626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Frio</w:t>
            </w:r>
          </w:p>
        </w:tc>
      </w:tr>
      <w:tr>
        <w:tc>
          <w:tcPr>
            <w:tcW w:type="dxa" w:w="22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Vindimas activas</w:t>
            </w:r>
          </w:p>
        </w:tc>
        <w:tc>
          <w:tcPr>
            <w:tcW w:type="dxa" w:w="13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Nao</w:t>
            </w:r>
          </w:p>
        </w:tc>
        <w:tc>
          <w:tcPr>
            <w:tcW w:type="dxa" w:w="13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Sim</w:t>
            </w:r>
          </w:p>
        </w:tc>
        <w:tc>
          <w:tcPr>
            <w:tcW w:type="dxa" w:w="13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Final</w:t>
            </w:r>
          </w:p>
        </w:tc>
        <w:tc>
          <w:tcPr>
            <w:tcW w:type="dxa" w:w="13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Nao</w:t>
            </w:r>
          </w:p>
        </w:tc>
        <w:tc>
          <w:tcPr>
            <w:tcW w:type="dxa" w:w="1626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Nao</w:t>
            </w:r>
          </w:p>
        </w:tc>
      </w:tr>
      <w:tr>
        <w:tc>
          <w:tcPr>
            <w:tcW w:type="dxa" w:w="22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Agenda operadores</w:t>
            </w:r>
          </w:p>
        </w:tc>
        <w:tc>
          <w:tcPr>
            <w:tcW w:type="dxa" w:w="13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Ferias</w:t>
            </w:r>
          </w:p>
        </w:tc>
        <w:tc>
          <w:tcPr>
            <w:tcW w:type="dxa" w:w="13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Retoma</w:t>
            </w:r>
          </w:p>
        </w:tc>
        <w:tc>
          <w:tcPr>
            <w:tcW w:type="dxa" w:w="13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Activo</w:t>
            </w:r>
          </w:p>
        </w:tc>
        <w:tc>
          <w:tcPr>
            <w:tcW w:type="dxa" w:w="13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Feiras</w:t>
            </w:r>
          </w:p>
        </w:tc>
        <w:tc>
          <w:tcPr>
            <w:tcW w:type="dxa" w:w="1626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Natal</w:t>
            </w:r>
          </w:p>
        </w:tc>
      </w:tr>
      <w:tr>
        <w:tc>
          <w:tcPr>
            <w:tcW w:type="dxa" w:w="22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Conflitos locais</w:t>
            </w:r>
          </w:p>
        </w:tc>
        <w:tc>
          <w:tcPr>
            <w:tcW w:type="dxa" w:w="13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Gualt.</w:t>
            </w:r>
          </w:p>
        </w:tc>
        <w:tc>
          <w:tcPr>
            <w:tcW w:type="dxa" w:w="13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Livre</w:t>
            </w:r>
          </w:p>
        </w:tc>
        <w:tc>
          <w:tcPr>
            <w:tcW w:type="dxa" w:w="13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Livre</w:t>
            </w:r>
          </w:p>
        </w:tc>
        <w:tc>
          <w:tcPr>
            <w:tcW w:type="dxa" w:w="13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Nicolinas</w:t>
            </w:r>
          </w:p>
        </w:tc>
        <w:tc>
          <w:tcPr>
            <w:tcW w:type="dxa" w:w="1626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Festas</w:t>
            </w:r>
          </w:p>
        </w:tc>
      </w:tr>
      <w:tr>
        <w:tc>
          <w:tcPr>
            <w:tcW w:type="dxa" w:w="2200"/>
            <w:tcBorders>
              <w:top w:val="single" w:color="C49A28" w:sz="6"/>
              <w:left w:val="single" w:color="C49A28" w:sz="6"/>
              <w:bottom w:val="single" w:color="C49A28" w:sz="6"/>
              <w:right w:val="single" w:color="C49A28" w:sz="6"/>
            </w:tcBorders>
            <w:shd w:fill="C49A28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A1208"/>
                <w:sz w:val="20"/>
                <w:szCs w:val="20"/>
              </w:rPr>
              <w:t xml:space="preserve">NOTA GLOBAL</w:t>
            </w:r>
          </w:p>
        </w:tc>
        <w:tc>
          <w:tcPr>
            <w:tcW w:type="dxa" w:w="1300"/>
            <w:tcBorders>
              <w:top w:val="single" w:color="C49A28" w:sz="6"/>
              <w:left w:val="single" w:color="C49A28" w:sz="6"/>
              <w:bottom w:val="single" w:color="C49A28" w:sz="6"/>
              <w:right w:val="single" w:color="C49A28" w:sz="6"/>
            </w:tcBorders>
            <w:shd w:fill="FFF8E8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4/10</w:t>
            </w:r>
          </w:p>
        </w:tc>
        <w:tc>
          <w:tcPr>
            <w:tcW w:type="dxa" w:w="1300"/>
            <w:tcBorders>
              <w:top w:val="single" w:color="C49A28" w:sz="6"/>
              <w:left w:val="single" w:color="C49A28" w:sz="6"/>
              <w:bottom w:val="single" w:color="C49A28" w:sz="6"/>
              <w:right w:val="single" w:color="C49A28" w:sz="6"/>
            </w:tcBorders>
            <w:shd w:fill="FFF8E8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9/10</w:t>
            </w:r>
          </w:p>
        </w:tc>
        <w:tc>
          <w:tcPr>
            <w:tcW w:type="dxa" w:w="1300"/>
            <w:tcBorders>
              <w:top w:val="single" w:color="C49A28" w:sz="6"/>
              <w:left w:val="single" w:color="C49A28" w:sz="6"/>
              <w:bottom w:val="single" w:color="C49A28" w:sz="6"/>
              <w:right w:val="single" w:color="C49A28" w:sz="6"/>
            </w:tcBorders>
            <w:shd w:fill="FFF8E8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7/10</w:t>
            </w:r>
          </w:p>
        </w:tc>
        <w:tc>
          <w:tcPr>
            <w:tcW w:type="dxa" w:w="1300"/>
            <w:tcBorders>
              <w:top w:val="single" w:color="C49A28" w:sz="6"/>
              <w:left w:val="single" w:color="C49A28" w:sz="6"/>
              <w:bottom w:val="single" w:color="C49A28" w:sz="6"/>
              <w:right w:val="single" w:color="C49A28" w:sz="6"/>
            </w:tcBorders>
            <w:shd w:fill="FFF8E8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6/10</w:t>
            </w:r>
          </w:p>
        </w:tc>
        <w:tc>
          <w:tcPr>
            <w:tcW w:type="dxa" w:w="1626"/>
            <w:tcBorders>
              <w:top w:val="single" w:color="C49A28" w:sz="6"/>
              <w:left w:val="single" w:color="C49A28" w:sz="6"/>
              <w:bottom w:val="single" w:color="C49A28" w:sz="6"/>
              <w:right w:val="single" w:color="C49A28" w:sz="6"/>
            </w:tcBorders>
            <w:shd w:fill="FFF8E8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2/10</w:t>
            </w:r>
          </w:p>
        </w:tc>
      </w:tr>
    </w:tbl>
    <w:p>
      <w:r>
        <w:br w:type="page"/>
      </w:r>
    </w:p>
    <w:p>
      <w:pPr>
        <w:spacing w:after="0" w:before="400"/>
      </w:pPr>
      <w:r>
        <w:t xml:space="preserve"/>
      </w:r>
    </w:p>
    <w:p>
      <w:pPr>
        <w:shd w:fill="1B3527" w:val="clear"/>
        <w:spacing w:after="0" w:before="0"/>
      </w:pPr>
      <w:r>
        <w:rPr>
          <w:rFonts w:ascii="Arial" w:cs="Arial" w:eastAsia="Arial" w:hAnsi="Arial"/>
          <w:b/>
          <w:bCs/>
          <w:color w:val="FFFFFF"/>
          <w:spacing w:val="80"/>
          <w:sz w:val="28"/>
          <w:szCs w:val="28"/>
        </w:rPr>
        <w:t xml:space="preserve">  3. PROPOSTA DE EVENTO  </w:t>
      </w:r>
    </w:p>
    <w:p>
      <w:pPr>
        <w:shd w:fill="2D5C42" w:val="clear"/>
        <w:spacing w:after="200" w:before="0"/>
      </w:pPr>
      <w:r>
        <w:rPr>
          <w:rFonts w:ascii="Arial" w:cs="Arial" w:eastAsia="Arial" w:hAnsi="Arial"/>
          <w:color w:val="E8D5A3"/>
          <w:sz w:val="20"/>
          <w:szCs w:val="20"/>
        </w:rPr>
        <w:t xml:space="preserve">  Estrutura, programacao e escala</w:t>
      </w:r>
    </w:p>
    <w:p>
      <w:pPr>
        <w:pStyle w:val="Heading2"/>
        <w:spacing w:after="120" w:before="320"/>
      </w:pPr>
      <w:r>
        <w:rPr>
          <w:rFonts w:ascii="Georgia" w:cs="Georgia" w:eastAsia="Georgia" w:hAnsi="Georgia"/>
          <w:b/>
          <w:bCs/>
          <w:color w:val="1B3527"/>
          <w:sz w:val="28"/>
          <w:szCs w:val="28"/>
        </w:rPr>
        <w:t xml:space="preserve">3.1 Escala Recomendada - Cenario B</w:t>
      </w:r>
    </w:p>
    <w:p>
      <w:pPr>
        <w:spacing w:after="0" w:before="6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2713"/>
        <w:gridCol w:w="2713"/>
      </w:tblGrid>
      <w:tr>
        <w:trPr>
          <w:tblHeader/>
        </w:trPr>
        <w:tc>
          <w:tcPr>
            <w:tcW w:type="dxa" w:w="3600"/>
            <w:tcBorders>
              <w:top w:val="single" w:color="1B3527" w:sz="4"/>
              <w:left w:val="single" w:color="1B3527" w:sz="4"/>
              <w:bottom w:val="single" w:color="1B3527" w:sz="4"/>
              <w:right w:val="single" w:color="1B3527" w:sz="4"/>
            </w:tcBorders>
            <w:shd w:fill="1B3527" w:val="clear"/>
            <w:tcMar>
              <w:top w:type="dxa" w:w="80"/>
              <w:left w:type="dxa" w:w="160"/>
              <w:bottom w:type="dxa" w:w="8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Parametro</w:t>
            </w:r>
          </w:p>
        </w:tc>
        <w:tc>
          <w:tcPr>
            <w:tcW w:type="dxa" w:w="2713"/>
            <w:tcBorders>
              <w:top w:val="single" w:color="1B3527" w:sz="4"/>
              <w:left w:val="single" w:color="1B3527" w:sz="4"/>
              <w:bottom w:val="single" w:color="1B3527" w:sz="4"/>
              <w:right w:val="single" w:color="1B3527" w:sz="4"/>
            </w:tcBorders>
            <w:shd w:fill="1B3527" w:val="clear"/>
            <w:tcMar>
              <w:top w:type="dxa" w:w="80"/>
              <w:left w:type="dxa" w:w="160"/>
              <w:bottom w:type="dxa" w:w="8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Cenario A (Min.)</w:t>
            </w:r>
          </w:p>
        </w:tc>
        <w:tc>
          <w:tcPr>
            <w:tcW w:type="dxa" w:w="2713"/>
            <w:tcBorders>
              <w:top w:val="single" w:color="1B3527" w:sz="4"/>
              <w:left w:val="single" w:color="1B3527" w:sz="4"/>
              <w:bottom w:val="single" w:color="1B3527" w:sz="4"/>
              <w:right w:val="single" w:color="1B3527" w:sz="4"/>
            </w:tcBorders>
            <w:shd w:fill="1B3527" w:val="clear"/>
            <w:tcMar>
              <w:top w:type="dxa" w:w="80"/>
              <w:left w:type="dxa" w:w="160"/>
              <w:bottom w:type="dxa" w:w="8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Cenario B Recomendado</w:t>
            </w:r>
          </w:p>
        </w:tc>
      </w:tr>
      <w:tr>
        <w:tc>
          <w:tcPr>
            <w:tcW w:type="dxa" w:w="36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Operadores internacionais</w:t>
            </w:r>
          </w:p>
        </w:tc>
        <w:tc>
          <w:tcPr>
            <w:tcW w:type="dxa" w:w="2713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Ate 80</w:t>
            </w:r>
          </w:p>
        </w:tc>
        <w:tc>
          <w:tcPr>
            <w:tcW w:type="dxa" w:w="2713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100-150</w:t>
            </w:r>
          </w:p>
        </w:tc>
      </w:tr>
      <w:tr>
        <w:tc>
          <w:tcPr>
            <w:tcW w:type="dxa" w:w="36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Paises representados</w:t>
            </w:r>
          </w:p>
        </w:tc>
        <w:tc>
          <w:tcPr>
            <w:tcW w:type="dxa" w:w="2713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12</w:t>
            </w:r>
          </w:p>
        </w:tc>
        <w:tc>
          <w:tcPr>
            <w:tcW w:type="dxa" w:w="2713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18</w:t>
            </w:r>
          </w:p>
        </w:tc>
      </w:tr>
      <w:tr>
        <w:tc>
          <w:tcPr>
            <w:tcW w:type="dxa" w:w="36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Rotas famtrip</w:t>
            </w:r>
          </w:p>
        </w:tc>
        <w:tc>
          <w:tcPr>
            <w:tcW w:type="dxa" w:w="2713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5</w:t>
            </w:r>
          </w:p>
        </w:tc>
        <w:tc>
          <w:tcPr>
            <w:tcW w:type="dxa" w:w="2713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8</w:t>
            </w:r>
          </w:p>
        </w:tc>
      </w:tr>
      <w:tr>
        <w:tc>
          <w:tcPr>
            <w:tcW w:type="dxa" w:w="36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Dias de evento</w:t>
            </w:r>
          </w:p>
        </w:tc>
        <w:tc>
          <w:tcPr>
            <w:tcW w:type="dxa" w:w="2713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4</w:t>
            </w:r>
          </w:p>
        </w:tc>
        <w:tc>
          <w:tcPr>
            <w:tcW w:type="dxa" w:w="2713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5</w:t>
            </w:r>
          </w:p>
        </w:tc>
      </w:tr>
      <w:tr>
        <w:tc>
          <w:tcPr>
            <w:tcW w:type="dxa" w:w="36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Produtores na Feira</w:t>
            </w:r>
          </w:p>
        </w:tc>
        <w:tc>
          <w:tcPr>
            <w:tcW w:type="dxa" w:w="2713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20</w:t>
            </w:r>
          </w:p>
        </w:tc>
        <w:tc>
          <w:tcPr>
            <w:tcW w:type="dxa" w:w="2713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35+</w:t>
            </w:r>
          </w:p>
        </w:tc>
      </w:tr>
      <w:tr>
        <w:tc>
          <w:tcPr>
            <w:tcW w:type="dxa" w:w="36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Orcamento total</w:t>
            </w:r>
          </w:p>
        </w:tc>
        <w:tc>
          <w:tcPr>
            <w:tcW w:type="dxa" w:w="2713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195.000 EUR</w:t>
            </w:r>
          </w:p>
        </w:tc>
        <w:tc>
          <w:tcPr>
            <w:tcW w:type="dxa" w:w="2713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345.000 EUR</w:t>
            </w:r>
          </w:p>
        </w:tc>
      </w:tr>
      <w:tr>
        <w:tc>
          <w:tcPr>
            <w:tcW w:type="dxa" w:w="36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Apoio publico</w:t>
            </w:r>
          </w:p>
        </w:tc>
        <w:tc>
          <w:tcPr>
            <w:tcW w:type="dxa" w:w="2713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70.000 EUR (36%)</w:t>
            </w:r>
          </w:p>
        </w:tc>
        <w:tc>
          <w:tcPr>
            <w:tcW w:type="dxa" w:w="2713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100.000 EUR (29%)</w:t>
            </w:r>
          </w:p>
        </w:tc>
      </w:tr>
      <w:tr>
        <w:tc>
          <w:tcPr>
            <w:tcW w:type="dxa" w:w="36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Impacto economico est.</w:t>
            </w:r>
          </w:p>
        </w:tc>
        <w:tc>
          <w:tcPr>
            <w:tcW w:type="dxa" w:w="2713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500K+ EUR</w:t>
            </w:r>
          </w:p>
        </w:tc>
        <w:tc>
          <w:tcPr>
            <w:tcW w:type="dxa" w:w="2713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1,5M+ EUR</w:t>
            </w:r>
          </w:p>
        </w:tc>
      </w:tr>
      <w:tr>
        <w:tc>
          <w:tcPr>
            <w:tcW w:type="dxa" w:w="3600"/>
            <w:tcBorders>
              <w:top w:val="single" w:color="C49A28" w:sz="6"/>
              <w:left w:val="single" w:color="C49A28" w:sz="6"/>
              <w:bottom w:val="single" w:color="C49A28" w:sz="6"/>
              <w:right w:val="single" w:color="C49A28" w:sz="6"/>
            </w:tcBorders>
            <w:shd w:fill="C49A28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A1208"/>
                <w:sz w:val="20"/>
                <w:szCs w:val="20"/>
              </w:rPr>
              <w:t xml:space="preserve">Retorno / EUR1 publico</w:t>
            </w:r>
          </w:p>
        </w:tc>
        <w:tc>
          <w:tcPr>
            <w:tcW w:type="dxa" w:w="2713"/>
            <w:tcBorders>
              <w:top w:val="single" w:color="C49A28" w:sz="6"/>
              <w:left w:val="single" w:color="C49A28" w:sz="6"/>
              <w:bottom w:val="single" w:color="C49A28" w:sz="6"/>
              <w:right w:val="single" w:color="C49A28" w:sz="6"/>
            </w:tcBorders>
            <w:shd w:fill="FFF8E8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7,1</w:t>
            </w:r>
          </w:p>
        </w:tc>
        <w:tc>
          <w:tcPr>
            <w:tcW w:type="dxa" w:w="2713"/>
            <w:tcBorders>
              <w:top w:val="single" w:color="C49A28" w:sz="6"/>
              <w:left w:val="single" w:color="C49A28" w:sz="6"/>
              <w:bottom w:val="single" w:color="C49A28" w:sz="6"/>
              <w:right w:val="single" w:color="C49A28" w:sz="6"/>
            </w:tcBorders>
            <w:shd w:fill="FFF8E8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15,0</w:t>
            </w:r>
          </w:p>
        </w:tc>
      </w:tr>
    </w:tbl>
    <w:p>
      <w:pPr>
        <w:spacing w:after="0" w:before="120"/>
      </w:pPr>
      <w:r>
        <w:t xml:space="preserve"/>
      </w:r>
    </w:p>
    <w:p>
      <w:pPr>
        <w:pStyle w:val="Heading2"/>
        <w:spacing w:after="120" w:before="320"/>
      </w:pPr>
      <w:r>
        <w:rPr>
          <w:rFonts w:ascii="Georgia" w:cs="Georgia" w:eastAsia="Georgia" w:hAnsi="Georgia"/>
          <w:b/>
          <w:bCs/>
          <w:color w:val="1B3527"/>
          <w:sz w:val="28"/>
          <w:szCs w:val="28"/>
        </w:rPr>
        <w:t xml:space="preserve">3.2 Programacao dos 5 Dias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b/>
          <w:bCs/>
          <w:color w:val="1B3527"/>
          <w:sz w:val="22"/>
          <w:szCs w:val="22"/>
        </w:rPr>
        <w:t xml:space="preserve">Dia 1 - Chegada e Abertura: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Credenciamento na Praca de Santiago - Visita ao Castelo e Paco dos Duques - Sessao institucional - Jantar de gala no Paco dos Duques.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b/>
          <w:bCs/>
          <w:color w:val="1B3527"/>
          <w:sz w:val="22"/>
          <w:szCs w:val="22"/>
        </w:rPr>
        <w:t xml:space="preserve">Dia 2 - Negocios e Produtores: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Feira de Produtores do Minho - Rodadas B2B pre-agendadas - Paineis tematicos - Degustacao de Vinho Verde em vindima.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b/>
          <w:bCs/>
          <w:color w:val="1B3527"/>
          <w:sz w:val="22"/>
          <w:szCs w:val="22"/>
        </w:rPr>
        <w:t xml:space="preserve">Dia 3 - Dia das Famtrips: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Partida simultanea das 8 vans - Imersao nas rotas tematicas - Jantar de reconexao.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b/>
          <w:bCs/>
          <w:color w:val="1B3527"/>
          <w:sz w:val="22"/>
          <w:szCs w:val="22"/>
        </w:rPr>
        <w:t xml:space="preserve">Dia 4 - Co-criacao e Parcerias: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Workshop de co-criacao de roteiros - Assinatura de cartas de intencao - Cerimonia de encerramento na Pousada Mosteiro.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b/>
          <w:bCs/>
          <w:color w:val="1B3527"/>
          <w:sz w:val="22"/>
          <w:szCs w:val="22"/>
        </w:rPr>
        <w:t xml:space="preserve">Dia 5 - Extensao Regional (opcional):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Braga - Viana do Castelo - Barcelos - Famalicao - Vale do Douro - Porto.</w:t>
      </w:r>
    </w:p>
    <w:p>
      <w:pPr>
        <w:spacing w:after="0" w:before="80"/>
      </w:pPr>
      <w:r>
        <w:t xml:space="preserve"/>
      </w:r>
    </w:p>
    <w:p>
      <w:pPr>
        <w:pStyle w:val="Heading2"/>
        <w:spacing w:after="120" w:before="320"/>
      </w:pPr>
      <w:r>
        <w:rPr>
          <w:rFonts w:ascii="Georgia" w:cs="Georgia" w:eastAsia="Georgia" w:hAnsi="Georgia"/>
          <w:b/>
          <w:bCs/>
          <w:color w:val="1B3527"/>
          <w:sz w:val="28"/>
          <w:szCs w:val="28"/>
        </w:rPr>
        <w:t xml:space="preserve">3.3 As 8 Rotas Famtrip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b/>
          <w:bCs/>
          <w:color w:val="1B3527"/>
          <w:sz w:val="22"/>
          <w:szCs w:val="22"/>
        </w:rPr>
        <w:t xml:space="preserve">Rota 01 - Origens de Portugal (Historica):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Castelo, Paco dos Duques, Citania de Briteiros, Museu Alberto Sampaio.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b/>
          <w:bCs/>
          <w:color w:val="1B3527"/>
          <w:sz w:val="22"/>
          <w:szCs w:val="22"/>
        </w:rPr>
        <w:t xml:space="preserve">Rota 02 - Sabores do Minho (Gastronomica):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Quinta de Vinho Verde em vindima, aula com chef, docaria conventual.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b/>
          <w:bCs/>
          <w:color w:val="1B3527"/>
          <w:sz w:val="22"/>
          <w:szCs w:val="22"/>
        </w:rPr>
        <w:t xml:space="preserve">Rota 03 - Minho Verde (Natureza):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Monte da Penha, Rio Ave, Parque Nacional Peneda-Gerez.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b/>
          <w:bCs/>
          <w:color w:val="1B3527"/>
          <w:sz w:val="22"/>
          <w:szCs w:val="22"/>
        </w:rPr>
        <w:t xml:space="preserve">Rota 04 - Guimaraes que Faz (Industrial):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Empresas texteis e de calcado de excelencia, Rede de Turismo Industrial.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b/>
          <w:bCs/>
          <w:color w:val="1B3527"/>
          <w:sz w:val="22"/>
          <w:szCs w:val="22"/>
        </w:rPr>
        <w:t xml:space="preserve">Rota 05 - Bordados e Oficios (Criativa):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Oficinas de bordados, Zona de Couros, filigrana, artesaos em actividade.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b/>
          <w:bCs/>
          <w:color w:val="1B3527"/>
          <w:sz w:val="22"/>
          <w:szCs w:val="22"/>
        </w:rPr>
        <w:t xml:space="preserve">Rota 06 - Pousada e Bem-Estar (Slow Luxury):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Pousada Mosteiro, Termas das Taipas, degustacao privada.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b/>
          <w:bCs/>
          <w:color w:val="1B3527"/>
          <w:sz w:val="22"/>
          <w:szCs w:val="22"/>
        </w:rPr>
        <w:t xml:space="preserve">Rota 07 - Caminho de Santiago (Espiritual):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Guimaraes no Caminho Central Portugues.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b/>
          <w:bCs/>
          <w:color w:val="1B3527"/>
          <w:sz w:val="22"/>
          <w:szCs w:val="22"/>
        </w:rPr>
        <w:t xml:space="preserve">Rota 08 - Viver como Local (Comunitaria):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Quintas pedagogicas, familias agricolas, colheita e cozinha comunitaria.</w:t>
      </w:r>
    </w:p>
    <w:p>
      <w:pPr>
        <w:spacing w:after="0" w:before="80"/>
      </w:pPr>
      <w:r>
        <w:t xml:space="preserve"/>
      </w:r>
    </w:p>
    <w:p>
      <w:pPr>
        <w:pStyle w:val="Heading2"/>
        <w:spacing w:after="120" w:before="320"/>
      </w:pPr>
      <w:r>
        <w:rPr>
          <w:rFonts w:ascii="Georgia" w:cs="Georgia" w:eastAsia="Georgia" w:hAnsi="Georgia"/>
          <w:b/>
          <w:bCs/>
          <w:color w:val="1B3527"/>
          <w:sz w:val="28"/>
          <w:szCs w:val="28"/>
        </w:rPr>
        <w:t xml:space="preserve">3.4 Criterios de Seleccao de Operadores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b/>
          <w:bCs/>
          <w:color w:val="1B3527"/>
          <w:sz w:val="22"/>
          <w:szCs w:val="22"/>
        </w:rPr>
        <w:t xml:space="preserve">Actividade profissional: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Operador de turismo, agencia receptiva ou OTA com actividade comprovada em turismo internacional.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b/>
          <w:bCs/>
          <w:color w:val="1B3527"/>
          <w:sz w:val="22"/>
          <w:szCs w:val="22"/>
        </w:rPr>
        <w:t xml:space="preserve">Diversidade geografica: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Minimo 15 paises distintos representados. Nenhum pais representa mais de 20% do total.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b/>
          <w:bCs/>
          <w:color w:val="1B3527"/>
          <w:sz w:val="22"/>
          <w:szCs w:val="22"/>
        </w:rPr>
        <w:t xml:space="preserve">Compromisso de seguimento: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Relatorio de implementacao 90 dias apos o evento descrevendo roteiros criados ou acordos formalizados.</w:t>
      </w:r>
    </w:p>
    <w:p>
      <w:r>
        <w:br w:type="page"/>
      </w:r>
    </w:p>
    <w:p>
      <w:pPr>
        <w:spacing w:after="0" w:before="400"/>
      </w:pPr>
      <w:r>
        <w:t xml:space="preserve"/>
      </w:r>
    </w:p>
    <w:p>
      <w:pPr>
        <w:shd w:fill="1B3527" w:val="clear"/>
        <w:spacing w:after="0" w:before="0"/>
      </w:pPr>
      <w:r>
        <w:rPr>
          <w:rFonts w:ascii="Arial" w:cs="Arial" w:eastAsia="Arial" w:hAnsi="Arial"/>
          <w:b/>
          <w:bCs/>
          <w:color w:val="FFFFFF"/>
          <w:spacing w:val="80"/>
          <w:sz w:val="28"/>
          <w:szCs w:val="28"/>
        </w:rPr>
        <w:t xml:space="preserve">  4. ECOSSISTEMA LOCAL E TURISMO DE ACOLHIMENTO  </w:t>
      </w:r>
    </w:p>
    <w:p>
      <w:pPr>
        <w:shd w:fill="2D5C42" w:val="clear"/>
        <w:spacing w:after="200" w:before="0"/>
      </w:pPr>
      <w:r>
        <w:rPr>
          <w:rFonts w:ascii="Arial" w:cs="Arial" w:eastAsia="Arial" w:hAnsi="Arial"/>
          <w:color w:val="E8D5A3"/>
          <w:sz w:val="20"/>
          <w:szCs w:val="20"/>
        </w:rPr>
        <w:t xml:space="preserve">  O territorio no centro - nao na margem</w:t>
      </w:r>
    </w:p>
    <w:p>
      <w:pPr>
        <w:pStyle w:val="Heading2"/>
        <w:spacing w:after="120" w:before="320"/>
      </w:pPr>
      <w:r>
        <w:rPr>
          <w:rFonts w:ascii="Georgia" w:cs="Georgia" w:eastAsia="Georgia" w:hAnsi="Georgia"/>
          <w:b/>
          <w:bCs/>
          <w:color w:val="1B3527"/>
          <w:sz w:val="28"/>
          <w:szCs w:val="28"/>
        </w:rPr>
        <w:t xml:space="preserve">4.1 Principio Estruturante</w:t>
      </w:r>
    </w:p>
    <w:p>
      <w:pPr>
        <w:pBdr>
          <w:top w:val="single" w:color="C49A28" w:sz="4"/>
          <w:bottom w:val="single" w:color="C49A28" w:sz="4"/>
          <w:left w:val="single" w:color="C49A28" w:sz="20"/>
          <w:right w:val="none"/>
        </w:pBdr>
        <w:shd w:fill="FFF8E8" w:val="clear"/>
        <w:spacing w:after="160" w:before="160"/>
      </w:pPr>
      <w:r>
        <w:rPr>
          <w:rFonts w:ascii="Arial" w:cs="Arial" w:eastAsia="Arial" w:hAnsi="Arial"/>
          <w:b/>
          <w:bCs/>
          <w:color w:val="1B3527"/>
          <w:sz w:val="22"/>
          <w:szCs w:val="22"/>
        </w:rPr>
        <w:t xml:space="preserve">O evento existe para o territorio. Os operadores internacionais sao o meio - o ecossistema local e o fim.</w:t>
      </w:r>
    </w:p>
    <w:p>
      <w:pPr>
        <w:spacing w:after="0" w:before="80"/>
      </w:pPr>
      <w:r>
        <w:t xml:space="preserve"/>
      </w:r>
    </w:p>
    <w:p>
      <w:pPr>
        <w:pStyle w:val="Heading2"/>
        <w:spacing w:after="120" w:before="320"/>
      </w:pPr>
      <w:r>
        <w:rPr>
          <w:rFonts w:ascii="Georgia" w:cs="Georgia" w:eastAsia="Georgia" w:hAnsi="Georgia"/>
          <w:b/>
          <w:bCs/>
          <w:color w:val="1B3527"/>
          <w:sz w:val="28"/>
          <w:szCs w:val="28"/>
        </w:rPr>
        <w:t xml:space="preserve">4.2 Os 8 Actores do Ecossistema Local</w:t>
      </w:r>
    </w:p>
    <w:p>
      <w:pPr>
        <w:spacing w:after="0" w:before="6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3000"/>
        <w:gridCol w:w="3826"/>
      </w:tblGrid>
      <w:tr>
        <w:trPr>
          <w:tblHeader/>
        </w:trPr>
        <w:tc>
          <w:tcPr>
            <w:tcW w:type="dxa" w:w="2200"/>
            <w:tcBorders>
              <w:top w:val="single" w:color="1B3527" w:sz="4"/>
              <w:left w:val="single" w:color="1B3527" w:sz="4"/>
              <w:bottom w:val="single" w:color="1B3527" w:sz="4"/>
              <w:right w:val="single" w:color="1B3527" w:sz="4"/>
            </w:tcBorders>
            <w:shd w:fill="1B3527" w:val="clear"/>
            <w:tcMar>
              <w:top w:type="dxa" w:w="80"/>
              <w:left w:type="dxa" w:w="160"/>
              <w:bottom w:type="dxa" w:w="8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Actor Local</w:t>
            </w:r>
          </w:p>
        </w:tc>
        <w:tc>
          <w:tcPr>
            <w:tcW w:type="dxa" w:w="3000"/>
            <w:tcBorders>
              <w:top w:val="single" w:color="1B3527" w:sz="4"/>
              <w:left w:val="single" w:color="1B3527" w:sz="4"/>
              <w:bottom w:val="single" w:color="1B3527" w:sz="4"/>
              <w:right w:val="single" w:color="1B3527" w:sz="4"/>
            </w:tcBorders>
            <w:shd w:fill="1B3527" w:val="clear"/>
            <w:tcMar>
              <w:top w:type="dxa" w:w="80"/>
              <w:left w:type="dxa" w:w="160"/>
              <w:bottom w:type="dxa" w:w="8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Quem sao</w:t>
            </w:r>
          </w:p>
        </w:tc>
        <w:tc>
          <w:tcPr>
            <w:tcW w:type="dxa" w:w="3826"/>
            <w:tcBorders>
              <w:top w:val="single" w:color="1B3527" w:sz="4"/>
              <w:left w:val="single" w:color="1B3527" w:sz="4"/>
              <w:bottom w:val="single" w:color="1B3527" w:sz="4"/>
              <w:right w:val="single" w:color="1B3527" w:sz="4"/>
            </w:tcBorders>
            <w:shd w:fill="1B3527" w:val="clear"/>
            <w:tcMar>
              <w:top w:type="dxa" w:w="80"/>
              <w:left w:type="dxa" w:w="160"/>
              <w:bottom w:type="dxa" w:w="8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Beneficio Concreto</w:t>
            </w:r>
          </w:p>
        </w:tc>
      </w:tr>
      <w:tr>
        <w:tc>
          <w:tcPr>
            <w:tcW w:type="dxa" w:w="22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Produtores Rurais</w:t>
            </w:r>
          </w:p>
        </w:tc>
        <w:tc>
          <w:tcPr>
            <w:tcW w:type="dxa" w:w="30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Quintas Vinho Verde, queijeiros, apicultores</w:t>
            </w:r>
          </w:p>
        </w:tc>
        <w:tc>
          <w:tcPr>
            <w:tcW w:type="dxa" w:w="3826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Vendas directas + catalogo digital permanente</w:t>
            </w:r>
          </w:p>
        </w:tc>
      </w:tr>
      <w:tr>
        <w:tc>
          <w:tcPr>
            <w:tcW w:type="dxa" w:w="22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Artesaos e Criatividade</w:t>
            </w:r>
          </w:p>
        </w:tc>
        <w:tc>
          <w:tcPr>
            <w:tcW w:type="dxa" w:w="30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Bordados, filigrana, ceramica, calcado artesanal</w:t>
            </w:r>
          </w:p>
        </w:tc>
        <w:tc>
          <w:tcPr>
            <w:tcW w:type="dxa" w:w="3826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Demonstracao ao vivo + matchmaking B2B + kits boas-vindas</w:t>
            </w:r>
          </w:p>
        </w:tc>
      </w:tr>
      <w:tr>
        <w:tc>
          <w:tcPr>
            <w:tcW w:type="dxa" w:w="22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Industria Local</w:t>
            </w:r>
          </w:p>
        </w:tc>
        <w:tc>
          <w:tcPr>
            <w:tcW w:type="dxa" w:w="30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Textil, calcado, biotecnologia, Turismo Industrial</w:t>
            </w:r>
          </w:p>
        </w:tc>
        <w:tc>
          <w:tcPr>
            <w:tcW w:type="dxa" w:w="3826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Sessao 'Made in Guimaraes' + proposta MICE</w:t>
            </w:r>
          </w:p>
        </w:tc>
      </w:tr>
      <w:tr>
        <w:tc>
          <w:tcPr>
            <w:tcW w:type="dxa" w:w="22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Alojamento Local (AL)</w:t>
            </w:r>
          </w:p>
        </w:tc>
        <w:tc>
          <w:tcPr>
            <w:tcW w:type="dxa" w:w="30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Casas rurais, quintas, solares, AL urbano</w:t>
            </w:r>
          </w:p>
        </w:tc>
        <w:tc>
          <w:tcPr>
            <w:tcW w:type="dxa" w:w="3826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Programa 'Dormir no Territorio' - min. 30% dormidas</w:t>
            </w:r>
          </w:p>
        </w:tc>
      </w:tr>
      <w:tr>
        <w:tc>
          <w:tcPr>
            <w:tcW w:type="dxa" w:w="22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Guias e Animacao</w:t>
            </w:r>
          </w:p>
        </w:tc>
        <w:tc>
          <w:tcPr>
            <w:tcW w:type="dxa" w:w="30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Guias certificados, musicos e artistas locais</w:t>
            </w:r>
          </w:p>
        </w:tc>
        <w:tc>
          <w:tcPr>
            <w:tcW w:type="dxa" w:w="3826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2 guias/rota famtrip + animacao 100% local</w:t>
            </w:r>
          </w:p>
        </w:tc>
      </w:tr>
      <w:tr>
        <w:tc>
          <w:tcPr>
            <w:tcW w:type="dxa" w:w="22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Restauracao Local</w:t>
            </w:r>
          </w:p>
        </w:tc>
        <w:tc>
          <w:tcPr>
            <w:tcW w:type="dxa" w:w="30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Tabernas, chefs com identidade regional</w:t>
            </w:r>
          </w:p>
        </w:tc>
        <w:tc>
          <w:tcPr>
            <w:tcW w:type="dxa" w:w="3826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Min. 80% ingredientes de fornecedores do municipio</w:t>
            </w:r>
          </w:p>
        </w:tc>
      </w:tr>
      <w:tr>
        <w:tc>
          <w:tcPr>
            <w:tcW w:type="dxa" w:w="22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Comercio Local</w:t>
            </w:r>
          </w:p>
        </w:tc>
        <w:tc>
          <w:tcPr>
            <w:tcW w:type="dxa" w:w="30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Adegas, confeitarias, cooperativas</w:t>
            </w:r>
          </w:p>
        </w:tc>
        <w:tc>
          <w:tcPr>
            <w:tcW w:type="dxa" w:w="3826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Integracao nos roteiros + visibilidade internacional</w:t>
            </w:r>
          </w:p>
        </w:tc>
      </w:tr>
      <w:tr>
        <w:tc>
          <w:tcPr>
            <w:tcW w:type="dxa" w:w="22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Comunidade Anfitria</w:t>
            </w:r>
          </w:p>
        </w:tc>
        <w:tc>
          <w:tcPr>
            <w:tcW w:type="dxa" w:w="30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Cidadaos, estudantes, voluntarios</w:t>
            </w:r>
          </w:p>
        </w:tc>
        <w:tc>
          <w:tcPr>
            <w:tcW w:type="dxa" w:w="3826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Sessao publica + 50+ empregos temporarios locais</w:t>
            </w:r>
          </w:p>
        </w:tc>
      </w:tr>
    </w:tbl>
    <w:p>
      <w:pPr>
        <w:spacing w:after="0" w:before="160"/>
      </w:pPr>
      <w:r>
        <w:t xml:space="preserve"/>
      </w:r>
    </w:p>
    <w:p>
      <w:pPr>
        <w:pStyle w:val="Heading2"/>
        <w:spacing w:after="120" w:before="320"/>
      </w:pPr>
      <w:r>
        <w:rPr>
          <w:rFonts w:ascii="Georgia" w:cs="Georgia" w:eastAsia="Georgia" w:hAnsi="Georgia"/>
          <w:b/>
          <w:bCs/>
          <w:color w:val="1B3527"/>
          <w:sz w:val="28"/>
          <w:szCs w:val="28"/>
        </w:rPr>
        <w:t xml:space="preserve">4.3 Protocolo 'Compra Local Primeiro'</w:t>
      </w:r>
    </w:p>
    <w:p>
      <w:pPr>
        <w:spacing w:after="0" w:before="6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1400"/>
        <w:gridCol w:w="2200"/>
        <w:gridCol w:w="2826"/>
      </w:tblGrid>
      <w:tr>
        <w:trPr>
          <w:tblHeader/>
        </w:trPr>
        <w:tc>
          <w:tcPr>
            <w:tcW w:type="dxa" w:w="2600"/>
            <w:tcBorders>
              <w:top w:val="single" w:color="1B3527" w:sz="4"/>
              <w:left w:val="single" w:color="1B3527" w:sz="4"/>
              <w:bottom w:val="single" w:color="1B3527" w:sz="4"/>
              <w:right w:val="single" w:color="1B3527" w:sz="4"/>
            </w:tcBorders>
            <w:shd w:fill="1B3527" w:val="clear"/>
            <w:tcMar>
              <w:top w:type="dxa" w:w="80"/>
              <w:left w:type="dxa" w:w="160"/>
              <w:bottom w:type="dxa" w:w="8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Categoria</w:t>
            </w:r>
          </w:p>
        </w:tc>
        <w:tc>
          <w:tcPr>
            <w:tcW w:type="dxa" w:w="1400"/>
            <w:tcBorders>
              <w:top w:val="single" w:color="1B3527" w:sz="4"/>
              <w:left w:val="single" w:color="1B3527" w:sz="4"/>
              <w:bottom w:val="single" w:color="1B3527" w:sz="4"/>
              <w:right w:val="single" w:color="1B3527" w:sz="4"/>
            </w:tcBorders>
            <w:shd w:fill="1B3527" w:val="clear"/>
            <w:tcMar>
              <w:top w:type="dxa" w:w="80"/>
              <w:left w:type="dxa" w:w="160"/>
              <w:bottom w:type="dxa" w:w="8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Quota Local</w:t>
            </w:r>
          </w:p>
        </w:tc>
        <w:tc>
          <w:tcPr>
            <w:tcW w:type="dxa" w:w="2200"/>
            <w:tcBorders>
              <w:top w:val="single" w:color="1B3527" w:sz="4"/>
              <w:left w:val="single" w:color="1B3527" w:sz="4"/>
              <w:bottom w:val="single" w:color="1B3527" w:sz="4"/>
              <w:right w:val="single" w:color="1B3527" w:sz="4"/>
            </w:tcBorders>
            <w:shd w:fill="1B3527" w:val="clear"/>
            <w:tcMar>
              <w:top w:type="dxa" w:w="80"/>
              <w:left w:type="dxa" w:w="160"/>
              <w:bottom w:type="dxa" w:w="8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Fornecedores Tipo</w:t>
            </w:r>
          </w:p>
        </w:tc>
        <w:tc>
          <w:tcPr>
            <w:tcW w:type="dxa" w:w="2826"/>
            <w:tcBorders>
              <w:top w:val="single" w:color="1B3527" w:sz="4"/>
              <w:left w:val="single" w:color="1B3527" w:sz="4"/>
              <w:bottom w:val="single" w:color="1B3527" w:sz="4"/>
              <w:right w:val="single" w:color="1B3527" w:sz="4"/>
            </w:tcBorders>
            <w:shd w:fill="1B3527" w:val="clear"/>
            <w:tcMar>
              <w:top w:type="dxa" w:w="80"/>
              <w:left w:type="dxa" w:w="160"/>
              <w:bottom w:type="dxa" w:w="8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Meta Financeira</w:t>
            </w:r>
          </w:p>
        </w:tc>
      </w:tr>
      <w:tr>
        <w:tc>
          <w:tcPr>
            <w:tcW w:type="dxa" w:w="26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Alimentacao e Bebidas</w:t>
            </w:r>
          </w:p>
        </w:tc>
        <w:tc>
          <w:tcPr>
            <w:tcW w:type="dxa" w:w="14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80%+</w:t>
            </w:r>
          </w:p>
        </w:tc>
        <w:tc>
          <w:tcPr>
            <w:tcW w:type="dxa" w:w="22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Quintas, produtores DOP/IGP</w:t>
            </w:r>
          </w:p>
        </w:tc>
        <w:tc>
          <w:tcPr>
            <w:tcW w:type="dxa" w:w="2826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60.000+ EUR compras locais</w:t>
            </w:r>
          </w:p>
        </w:tc>
      </w:tr>
      <w:tr>
        <w:tc>
          <w:tcPr>
            <w:tcW w:type="dxa" w:w="26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Textil e Decoracao</w:t>
            </w:r>
          </w:p>
        </w:tc>
        <w:tc>
          <w:tcPr>
            <w:tcW w:type="dxa" w:w="14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90%+</w:t>
            </w:r>
          </w:p>
        </w:tc>
        <w:tc>
          <w:tcPr>
            <w:tcW w:type="dxa" w:w="22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Empresas texteis de Guimaraes</w:t>
            </w:r>
          </w:p>
        </w:tc>
        <w:tc>
          <w:tcPr>
            <w:tcW w:type="dxa" w:w="2826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Kits boas-vindas 100% locais</w:t>
            </w:r>
          </w:p>
        </w:tc>
      </w:tr>
      <w:tr>
        <w:tc>
          <w:tcPr>
            <w:tcW w:type="dxa" w:w="26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Artesanato e Brindes</w:t>
            </w:r>
          </w:p>
        </w:tc>
        <w:tc>
          <w:tcPr>
            <w:tcW w:type="dxa" w:w="14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100%</w:t>
            </w:r>
          </w:p>
        </w:tc>
        <w:tc>
          <w:tcPr>
            <w:tcW w:type="dxa" w:w="22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Artesaos certificados</w:t>
            </w:r>
          </w:p>
        </w:tc>
        <w:tc>
          <w:tcPr>
            <w:tcW w:type="dxa" w:w="2826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Zero brindes genericos</w:t>
            </w:r>
          </w:p>
        </w:tc>
      </w:tr>
      <w:tr>
        <w:tc>
          <w:tcPr>
            <w:tcW w:type="dxa" w:w="26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Animacao Cultural</w:t>
            </w:r>
          </w:p>
        </w:tc>
        <w:tc>
          <w:tcPr>
            <w:tcW w:type="dxa" w:w="14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100%</w:t>
            </w:r>
          </w:p>
        </w:tc>
        <w:tc>
          <w:tcPr>
            <w:tcW w:type="dxa" w:w="22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Artistas e musicos locais</w:t>
            </w:r>
          </w:p>
        </w:tc>
        <w:tc>
          <w:tcPr>
            <w:tcW w:type="dxa" w:w="2826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Zero artistas externos ao Minho</w:t>
            </w:r>
          </w:p>
        </w:tc>
      </w:tr>
      <w:tr>
        <w:tc>
          <w:tcPr>
            <w:tcW w:type="dxa" w:w="2600"/>
            <w:tcBorders>
              <w:top w:val="single" w:color="C49A28" w:sz="6"/>
              <w:left w:val="single" w:color="C49A28" w:sz="6"/>
              <w:bottom w:val="single" w:color="C49A28" w:sz="6"/>
              <w:right w:val="single" w:color="C49A28" w:sz="6"/>
            </w:tcBorders>
            <w:shd w:fill="C49A28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A1208"/>
                <w:sz w:val="20"/>
                <w:szCs w:val="20"/>
              </w:rPr>
              <w:t xml:space="preserve">TOTAL COMPRAS LOCAIS</w:t>
            </w:r>
          </w:p>
        </w:tc>
        <w:tc>
          <w:tcPr>
            <w:tcW w:type="dxa" w:w="1400"/>
            <w:tcBorders>
              <w:top w:val="single" w:color="C49A28" w:sz="6"/>
              <w:left w:val="single" w:color="C49A28" w:sz="6"/>
              <w:bottom w:val="single" w:color="C49A28" w:sz="6"/>
              <w:right w:val="single" w:color="C49A28" w:sz="6"/>
            </w:tcBorders>
            <w:shd w:fill="FFF8E8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70%+</w:t>
            </w:r>
          </w:p>
        </w:tc>
        <w:tc>
          <w:tcPr>
            <w:tcW w:type="dxa" w:w="2200"/>
            <w:tcBorders>
              <w:top w:val="single" w:color="C49A28" w:sz="6"/>
              <w:left w:val="single" w:color="C49A28" w:sz="6"/>
              <w:bottom w:val="single" w:color="C49A28" w:sz="6"/>
              <w:right w:val="single" w:color="C49A28" w:sz="6"/>
            </w:tcBorders>
            <w:shd w:fill="FFF8E8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Fornecedores do Municipio</w:t>
            </w:r>
          </w:p>
        </w:tc>
        <w:tc>
          <w:tcPr>
            <w:tcW w:type="dxa" w:w="2826"/>
            <w:tcBorders>
              <w:top w:val="single" w:color="C49A28" w:sz="6"/>
              <w:left w:val="single" w:color="C49A28" w:sz="6"/>
              <w:bottom w:val="single" w:color="C49A28" w:sz="6"/>
              <w:right w:val="single" w:color="C49A28" w:sz="6"/>
            </w:tcBorders>
            <w:shd w:fill="FFF8E8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120.000+ EUR injectados localmente</w:t>
            </w:r>
          </w:p>
        </w:tc>
      </w:tr>
    </w:tbl>
    <w:p>
      <w:pPr>
        <w:spacing w:after="0" w:before="120"/>
      </w:pPr>
      <w:r>
        <w:t xml:space="preserve"/>
      </w:r>
    </w:p>
    <w:p>
      <w:pPr>
        <w:pStyle w:val="Heading2"/>
        <w:spacing w:after="120" w:before="320"/>
      </w:pPr>
      <w:r>
        <w:rPr>
          <w:rFonts w:ascii="Georgia" w:cs="Georgia" w:eastAsia="Georgia" w:hAnsi="Georgia"/>
          <w:b/>
          <w:bCs/>
          <w:color w:val="1B3527"/>
          <w:sz w:val="28"/>
          <w:szCs w:val="28"/>
        </w:rPr>
        <w:t xml:space="preserve">4.4 Programa 'Dormir no Territorio'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b/>
          <w:bCs/>
          <w:color w:val="1B3527"/>
          <w:sz w:val="22"/>
          <w:szCs w:val="22"/>
        </w:rPr>
        <w:t xml:space="preserve">Nivel Ancora (30% dormidas):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Pousada Mosteiro de Guimaraes.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b/>
          <w:bCs/>
          <w:color w:val="1B3527"/>
          <w:sz w:val="22"/>
          <w:szCs w:val="22"/>
        </w:rPr>
        <w:t xml:space="preserve">Nivel Territorio (min. 30% dormidas):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AL certificado do concelho - briefing personalizado, kit local, historia da casa.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b/>
          <w:bCs/>
          <w:color w:val="1B3527"/>
          <w:sz w:val="22"/>
          <w:szCs w:val="22"/>
        </w:rPr>
        <w:t xml:space="preserve">Nivel Parceiro (max. 40% dormidas):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Hoteis do concelho apos esgotamento dos niveis anteriores.</w:t>
      </w:r>
    </w:p>
    <w:p>
      <w:pPr>
        <w:spacing w:after="0" w:before="80"/>
      </w:pPr>
      <w:r>
        <w:t xml:space="preserve"/>
      </w:r>
    </w:p>
    <w:p>
      <w:pPr>
        <w:pStyle w:val="Heading2"/>
        <w:spacing w:after="120" w:before="320"/>
      </w:pPr>
      <w:r>
        <w:rPr>
          <w:rFonts w:ascii="Georgia" w:cs="Georgia" w:eastAsia="Georgia" w:hAnsi="Georgia"/>
          <w:b/>
          <w:bCs/>
          <w:color w:val="1B3527"/>
          <w:sz w:val="28"/>
          <w:szCs w:val="28"/>
        </w:rPr>
        <w:t xml:space="preserve">4.5 Comunidade Anfitria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b/>
          <w:bCs/>
          <w:color w:val="1B3527"/>
          <w:sz w:val="22"/>
          <w:szCs w:val="22"/>
        </w:rPr>
        <w:t xml:space="preserve">Sessao Publica no Largo da Oliveira: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Concerto de musica tradicional e artesanato - estimativa 500 residentes presentes.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b/>
          <w:bCs/>
          <w:color w:val="1B3527"/>
          <w:sz w:val="22"/>
          <w:szCs w:val="22"/>
        </w:rPr>
        <w:t xml:space="preserve">Embaixadores Locais: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20 cidadaos seleccionados para acompanhar grupos de operadores.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b/>
          <w:bCs/>
          <w:color w:val="1B3527"/>
          <w:sz w:val="22"/>
          <w:szCs w:val="22"/>
        </w:rPr>
        <w:t xml:space="preserve">Voluntariado: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30 estudantes da Universidade do Minho com formacao em turismo e protocolo.</w:t>
      </w:r>
    </w:p>
    <w:p>
      <w:r>
        <w:br w:type="page"/>
      </w:r>
    </w:p>
    <w:p>
      <w:pPr>
        <w:spacing w:after="0" w:before="400"/>
      </w:pPr>
      <w:r>
        <w:t xml:space="preserve"/>
      </w:r>
    </w:p>
    <w:p>
      <w:pPr>
        <w:shd w:fill="1B3527" w:val="clear"/>
        <w:spacing w:after="0" w:before="0"/>
      </w:pPr>
      <w:r>
        <w:rPr>
          <w:rFonts w:ascii="Arial" w:cs="Arial" w:eastAsia="Arial" w:hAnsi="Arial"/>
          <w:b/>
          <w:bCs/>
          <w:color w:val="FFFFFF"/>
          <w:spacing w:val="80"/>
          <w:sz w:val="28"/>
          <w:szCs w:val="28"/>
        </w:rPr>
        <w:t xml:space="preserve">  5. MODELO FINANCEIRO  </w:t>
      </w:r>
    </w:p>
    <w:p>
      <w:pPr>
        <w:shd w:fill="2D5C42" w:val="clear"/>
        <w:spacing w:after="200" w:before="0"/>
      </w:pPr>
      <w:r>
        <w:rPr>
          <w:rFonts w:ascii="Arial" w:cs="Arial" w:eastAsia="Arial" w:hAnsi="Arial"/>
          <w:color w:val="E8D5A3"/>
          <w:sz w:val="20"/>
          <w:szCs w:val="20"/>
        </w:rPr>
        <w:t xml:space="preserve">  Orcamento completo - Receitas, Despesas e Contingencia</w:t>
      </w:r>
    </w:p>
    <w:p>
      <w:pPr>
        <w:pStyle w:val="Heading2"/>
        <w:spacing w:after="120" w:before="320"/>
      </w:pPr>
      <w:r>
        <w:rPr>
          <w:rFonts w:ascii="Georgia" w:cs="Georgia" w:eastAsia="Georgia" w:hAnsi="Georgia"/>
          <w:b/>
          <w:bCs/>
          <w:color w:val="1B3527"/>
          <w:sz w:val="28"/>
          <w:szCs w:val="28"/>
        </w:rPr>
        <w:t xml:space="preserve">5.1 Receitas - Estrutura de Financiamento</w:t>
      </w:r>
    </w:p>
    <w:p>
      <w:pPr>
        <w:spacing w:after="0" w:before="6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1942"/>
        <w:gridCol w:w="1942"/>
        <w:gridCol w:w="1942"/>
      </w:tblGrid>
      <w:tr>
        <w:trPr>
          <w:tblHeader/>
        </w:trPr>
        <w:tc>
          <w:tcPr>
            <w:tcW w:type="dxa" w:w="3200"/>
            <w:tcBorders>
              <w:top w:val="single" w:color="1B3527" w:sz="4"/>
              <w:left w:val="single" w:color="1B3527" w:sz="4"/>
              <w:bottom w:val="single" w:color="1B3527" w:sz="4"/>
              <w:right w:val="single" w:color="1B3527" w:sz="4"/>
            </w:tcBorders>
            <w:shd w:fill="1B3527" w:val="clear"/>
            <w:tcMar>
              <w:top w:type="dxa" w:w="80"/>
              <w:left w:type="dxa" w:w="160"/>
              <w:bottom w:type="dxa" w:w="8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Fonte de Financiamento</w:t>
            </w:r>
          </w:p>
        </w:tc>
        <w:tc>
          <w:tcPr>
            <w:tcW w:type="dxa" w:w="1942"/>
            <w:tcBorders>
              <w:top w:val="single" w:color="1B3527" w:sz="4"/>
              <w:left w:val="single" w:color="1B3527" w:sz="4"/>
              <w:bottom w:val="single" w:color="1B3527" w:sz="4"/>
              <w:right w:val="single" w:color="1B3527" w:sz="4"/>
            </w:tcBorders>
            <w:shd w:fill="1B3527" w:val="clear"/>
            <w:tcMar>
              <w:top w:type="dxa" w:w="80"/>
              <w:left w:type="dxa" w:w="160"/>
              <w:bottom w:type="dxa" w:w="8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Cenario A</w:t>
            </w:r>
          </w:p>
        </w:tc>
        <w:tc>
          <w:tcPr>
            <w:tcW w:type="dxa" w:w="1942"/>
            <w:tcBorders>
              <w:top w:val="single" w:color="1B3527" w:sz="4"/>
              <w:left w:val="single" w:color="1B3527" w:sz="4"/>
              <w:bottom w:val="single" w:color="1B3527" w:sz="4"/>
              <w:right w:val="single" w:color="1B3527" w:sz="4"/>
            </w:tcBorders>
            <w:shd w:fill="1B3527" w:val="clear"/>
            <w:tcMar>
              <w:top w:type="dxa" w:w="80"/>
              <w:left w:type="dxa" w:w="160"/>
              <w:bottom w:type="dxa" w:w="8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Cenario B</w:t>
            </w:r>
          </w:p>
        </w:tc>
        <w:tc>
          <w:tcPr>
            <w:tcW w:type="dxa" w:w="1942"/>
            <w:tcBorders>
              <w:top w:val="single" w:color="1B3527" w:sz="4"/>
              <w:left w:val="single" w:color="1B3527" w:sz="4"/>
              <w:bottom w:val="single" w:color="1B3527" w:sz="4"/>
              <w:right w:val="single" w:color="1B3527" w:sz="4"/>
            </w:tcBorders>
            <w:shd w:fill="1B3527" w:val="clear"/>
            <w:tcMar>
              <w:top w:type="dxa" w:w="80"/>
              <w:left w:type="dxa" w:w="160"/>
              <w:bottom w:type="dxa" w:w="8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Cenario C</w:t>
            </w:r>
          </w:p>
        </w:tc>
      </w:tr>
      <w:tr>
        <w:tc>
          <w:tcPr>
            <w:tcW w:type="dxa" w:w="32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Apoio Publico (Camara + Turismo PT + TPNP)</w:t>
            </w:r>
          </w:p>
        </w:tc>
        <w:tc>
          <w:tcPr>
            <w:tcW w:type="dxa" w:w="1942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70.000</w:t>
            </w:r>
          </w:p>
        </w:tc>
        <w:tc>
          <w:tcPr>
            <w:tcW w:type="dxa" w:w="1942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100.000</w:t>
            </w:r>
          </w:p>
        </w:tc>
        <w:tc>
          <w:tcPr>
            <w:tcW w:type="dxa" w:w="1942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150.000</w:t>
            </w:r>
          </w:p>
        </w:tc>
      </w:tr>
      <w:tr>
        <w:tc>
          <w:tcPr>
            <w:tcW w:type="dxa" w:w="32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Patrocinios Ouro / Prata / Bronze</w:t>
            </w:r>
          </w:p>
        </w:tc>
        <w:tc>
          <w:tcPr>
            <w:tcW w:type="dxa" w:w="1942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70.000</w:t>
            </w:r>
          </w:p>
        </w:tc>
        <w:tc>
          <w:tcPr>
            <w:tcW w:type="dxa" w:w="1942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145.000</w:t>
            </w:r>
          </w:p>
        </w:tc>
        <w:tc>
          <w:tcPr>
            <w:tcW w:type="dxa" w:w="1942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240.000</w:t>
            </w:r>
          </w:p>
        </w:tc>
      </w:tr>
      <w:tr>
        <w:tc>
          <w:tcPr>
            <w:tcW w:type="dxa" w:w="32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Naming Rights de Sessoes</w:t>
            </w:r>
          </w:p>
        </w:tc>
        <w:tc>
          <w:tcPr>
            <w:tcW w:type="dxa" w:w="1942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6.000</w:t>
            </w:r>
          </w:p>
        </w:tc>
        <w:tc>
          <w:tcPr>
            <w:tcW w:type="dxa" w:w="1942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10.000</w:t>
            </w:r>
          </w:p>
        </w:tc>
        <w:tc>
          <w:tcPr>
            <w:tcW w:type="dxa" w:w="1942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20.000</w:t>
            </w:r>
          </w:p>
        </w:tc>
      </w:tr>
      <w:tr>
        <w:tc>
          <w:tcPr>
            <w:tcW w:type="dxa" w:w="32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Inscricoes de Operadores</w:t>
            </w:r>
          </w:p>
        </w:tc>
        <w:tc>
          <w:tcPr>
            <w:tcW w:type="dxa" w:w="1942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28.000</w:t>
            </w:r>
          </w:p>
        </w:tc>
        <w:tc>
          <w:tcPr>
            <w:tcW w:type="dxa" w:w="1942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50.000</w:t>
            </w:r>
          </w:p>
        </w:tc>
        <w:tc>
          <w:tcPr>
            <w:tcW w:type="dxa" w:w="1942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88.000</w:t>
            </w:r>
          </w:p>
        </w:tc>
      </w:tr>
      <w:tr>
        <w:tc>
          <w:tcPr>
            <w:tcW w:type="dxa" w:w="32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Expositores / Produtores Locais</w:t>
            </w:r>
          </w:p>
        </w:tc>
        <w:tc>
          <w:tcPr>
            <w:tcW w:type="dxa" w:w="1942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8.000</w:t>
            </w:r>
          </w:p>
        </w:tc>
        <w:tc>
          <w:tcPr>
            <w:tcW w:type="dxa" w:w="1942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20.000</w:t>
            </w:r>
          </w:p>
        </w:tc>
        <w:tc>
          <w:tcPr>
            <w:tcW w:type="dxa" w:w="1942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45.000</w:t>
            </w:r>
          </w:p>
        </w:tc>
      </w:tr>
      <w:tr>
        <w:tc>
          <w:tcPr>
            <w:tcW w:type="dxa" w:w="32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Press Trip e Media / Digital</w:t>
            </w:r>
          </w:p>
        </w:tc>
        <w:tc>
          <w:tcPr>
            <w:tcW w:type="dxa" w:w="1942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13.000</w:t>
            </w:r>
          </w:p>
        </w:tc>
        <w:tc>
          <w:tcPr>
            <w:tcW w:type="dxa" w:w="1942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20.000</w:t>
            </w:r>
          </w:p>
        </w:tc>
        <w:tc>
          <w:tcPr>
            <w:tcW w:type="dxa" w:w="1942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47.000</w:t>
            </w:r>
          </w:p>
        </w:tc>
      </w:tr>
      <w:tr>
        <w:tc>
          <w:tcPr>
            <w:tcW w:type="dxa" w:w="3200"/>
            <w:tcBorders>
              <w:top w:val="single" w:color="C49A28" w:sz="6"/>
              <w:left w:val="single" w:color="C49A28" w:sz="6"/>
              <w:bottom w:val="single" w:color="C49A28" w:sz="6"/>
              <w:right w:val="single" w:color="C49A28" w:sz="6"/>
            </w:tcBorders>
            <w:shd w:fill="C49A28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A1208"/>
                <w:sz w:val="20"/>
                <w:szCs w:val="20"/>
              </w:rPr>
              <w:t xml:space="preserve">TOTAL RECEITAS (EUR)</w:t>
            </w:r>
          </w:p>
        </w:tc>
        <w:tc>
          <w:tcPr>
            <w:tcW w:type="dxa" w:w="1942"/>
            <w:tcBorders>
              <w:top w:val="single" w:color="C49A28" w:sz="6"/>
              <w:left w:val="single" w:color="C49A28" w:sz="6"/>
              <w:bottom w:val="single" w:color="C49A28" w:sz="6"/>
              <w:right w:val="single" w:color="C49A28" w:sz="6"/>
            </w:tcBorders>
            <w:shd w:fill="FFF8E8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195.000</w:t>
            </w:r>
          </w:p>
        </w:tc>
        <w:tc>
          <w:tcPr>
            <w:tcW w:type="dxa" w:w="1942"/>
            <w:tcBorders>
              <w:top w:val="single" w:color="C49A28" w:sz="6"/>
              <w:left w:val="single" w:color="C49A28" w:sz="6"/>
              <w:bottom w:val="single" w:color="C49A28" w:sz="6"/>
              <w:right w:val="single" w:color="C49A28" w:sz="6"/>
            </w:tcBorders>
            <w:shd w:fill="FFF8E8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345.000</w:t>
            </w:r>
          </w:p>
        </w:tc>
        <w:tc>
          <w:tcPr>
            <w:tcW w:type="dxa" w:w="1942"/>
            <w:tcBorders>
              <w:top w:val="single" w:color="C49A28" w:sz="6"/>
              <w:left w:val="single" w:color="C49A28" w:sz="6"/>
              <w:bottom w:val="single" w:color="C49A28" w:sz="6"/>
              <w:right w:val="single" w:color="C49A28" w:sz="6"/>
            </w:tcBorders>
            <w:shd w:fill="FFF8E8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590.000</w:t>
            </w:r>
          </w:p>
        </w:tc>
      </w:tr>
    </w:tbl>
    <w:p>
      <w:pPr>
        <w:spacing w:after="0" w:before="160"/>
      </w:pPr>
      <w:r>
        <w:t xml:space="preserve"/>
      </w:r>
    </w:p>
    <w:p>
      <w:pPr>
        <w:pStyle w:val="Heading2"/>
        <w:spacing w:after="120" w:before="320"/>
      </w:pPr>
      <w:r>
        <w:rPr>
          <w:rFonts w:ascii="Georgia" w:cs="Georgia" w:eastAsia="Georgia" w:hAnsi="Georgia"/>
          <w:b/>
          <w:bCs/>
          <w:color w:val="1B3527"/>
          <w:sz w:val="28"/>
          <w:szCs w:val="28"/>
        </w:rPr>
        <w:t xml:space="preserve">5.2 Orcamento de Despesas Detalhado - Cenario B</w:t>
      </w:r>
    </w:p>
    <w:p>
      <w:pPr>
        <w:spacing w:after="160" w:before="0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Orcamento de despesas do Cenario B: 333.000 EUR em 10 categorias. Valores baseados em orcamentos de mercado e benchmarks de eventos similares (Girona Food Fest, Wine Tourism Conference Lisboa, Douro Valley Summit).</w:t>
      </w:r>
    </w:p>
    <w:p>
      <w:pPr>
        <w:spacing w:after="0" w:before="6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1200"/>
        <w:gridCol w:w="1100"/>
        <w:gridCol w:w="3526"/>
      </w:tblGrid>
      <w:tr>
        <w:trPr>
          <w:tblHeader/>
        </w:trPr>
        <w:tc>
          <w:tcPr>
            <w:tcW w:type="dxa" w:w="3200"/>
            <w:tcBorders>
              <w:top w:val="single" w:color="1B3527" w:sz="4"/>
              <w:left w:val="single" w:color="1B3527" w:sz="4"/>
              <w:bottom w:val="single" w:color="1B3527" w:sz="4"/>
              <w:right w:val="single" w:color="1B3527" w:sz="4"/>
            </w:tcBorders>
            <w:shd w:fill="1B3527" w:val="clear"/>
            <w:tcMar>
              <w:top w:type="dxa" w:w="80"/>
              <w:left w:type="dxa" w:w="160"/>
              <w:bottom w:type="dxa" w:w="8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Categoria de Despesa</w:t>
            </w:r>
          </w:p>
        </w:tc>
        <w:tc>
          <w:tcPr>
            <w:tcW w:type="dxa" w:w="1200"/>
            <w:tcBorders>
              <w:top w:val="single" w:color="1B3527" w:sz="4"/>
              <w:left w:val="single" w:color="1B3527" w:sz="4"/>
              <w:bottom w:val="single" w:color="1B3527" w:sz="4"/>
              <w:right w:val="single" w:color="1B3527" w:sz="4"/>
            </w:tcBorders>
            <w:shd w:fill="1B3527" w:val="clear"/>
            <w:tcMar>
              <w:top w:type="dxa" w:w="80"/>
              <w:left w:type="dxa" w:w="160"/>
              <w:bottom w:type="dxa" w:w="8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Valor EUR</w:t>
            </w:r>
          </w:p>
        </w:tc>
        <w:tc>
          <w:tcPr>
            <w:tcW w:type="dxa" w:w="1100"/>
            <w:tcBorders>
              <w:top w:val="single" w:color="1B3527" w:sz="4"/>
              <w:left w:val="single" w:color="1B3527" w:sz="4"/>
              <w:bottom w:val="single" w:color="1B3527" w:sz="4"/>
              <w:right w:val="single" w:color="1B3527" w:sz="4"/>
            </w:tcBorders>
            <w:shd w:fill="1B3527" w:val="clear"/>
            <w:tcMar>
              <w:top w:type="dxa" w:w="80"/>
              <w:left w:type="dxa" w:w="160"/>
              <w:bottom w:type="dxa" w:w="8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% Total</w:t>
            </w:r>
          </w:p>
        </w:tc>
        <w:tc>
          <w:tcPr>
            <w:tcW w:type="dxa" w:w="3526"/>
            <w:tcBorders>
              <w:top w:val="single" w:color="1B3527" w:sz="4"/>
              <w:left w:val="single" w:color="1B3527" w:sz="4"/>
              <w:bottom w:val="single" w:color="1B3527" w:sz="4"/>
              <w:right w:val="single" w:color="1B3527" w:sz="4"/>
            </w:tcBorders>
            <w:shd w:fill="1B3527" w:val="clear"/>
            <w:tcMar>
              <w:top w:type="dxa" w:w="80"/>
              <w:left w:type="dxa" w:w="160"/>
              <w:bottom w:type="dxa" w:w="8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Principais Rubricas</w:t>
            </w:r>
          </w:p>
        </w:tc>
      </w:tr>
      <w:tr>
        <w:tc>
          <w:tcPr>
            <w:tcW w:type="dxa" w:w="32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Alojamento e Espacos</w:t>
            </w:r>
          </w:p>
        </w:tc>
        <w:tc>
          <w:tcPr>
            <w:tcW w:type="dxa" w:w="12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65.000</w:t>
            </w:r>
          </w:p>
        </w:tc>
        <w:tc>
          <w:tcPr>
            <w:tcW w:type="dxa" w:w="11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19,7%</w:t>
            </w:r>
          </w:p>
        </w:tc>
        <w:tc>
          <w:tcPr>
            <w:tcW w:type="dxa" w:w="3526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Pousada Mosteiro - Paco Duques (gala) - Vila Flor (3 dias) - Montagem</w:t>
            </w:r>
          </w:p>
        </w:tc>
      </w:tr>
      <w:tr>
        <w:tc>
          <w:tcPr>
            <w:tcW w:type="dxa" w:w="32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Alimentacao e Bebidas (F&amp;B)</w:t>
            </w:r>
          </w:p>
        </w:tc>
        <w:tc>
          <w:tcPr>
            <w:tcW w:type="dxa" w:w="12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55.000</w:t>
            </w:r>
          </w:p>
        </w:tc>
        <w:tc>
          <w:tcPr>
            <w:tcW w:type="dxa" w:w="11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16,7%</w:t>
            </w:r>
          </w:p>
        </w:tc>
        <w:tc>
          <w:tcPr>
            <w:tcW w:type="dxa" w:w="3526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Jantar gala - Almofos 5 dias - Coffee breaks - Degustacao - Jantar famtrips</w:t>
            </w:r>
          </w:p>
        </w:tc>
      </w:tr>
      <w:tr>
        <w:tc>
          <w:tcPr>
            <w:tcW w:type="dxa" w:w="32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Transportes e Logistica</w:t>
            </w:r>
          </w:p>
        </w:tc>
        <w:tc>
          <w:tcPr>
            <w:tcW w:type="dxa" w:w="12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38.000</w:t>
            </w:r>
          </w:p>
        </w:tc>
        <w:tc>
          <w:tcPr>
            <w:tcW w:type="dxa" w:w="11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11,5%</w:t>
            </w:r>
          </w:p>
        </w:tc>
        <w:tc>
          <w:tcPr>
            <w:tcW w:type="dxa" w:w="3526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Transfers aeroporto - 8 vans famtrips - Shuttles - Logistica materiais</w:t>
            </w:r>
          </w:p>
        </w:tc>
      </w:tr>
      <w:tr>
        <w:tc>
          <w:tcPr>
            <w:tcW w:type="dxa" w:w="32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Producao e Audiovisual</w:t>
            </w:r>
          </w:p>
        </w:tc>
        <w:tc>
          <w:tcPr>
            <w:tcW w:type="dxa" w:w="12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35.000</w:t>
            </w:r>
          </w:p>
        </w:tc>
        <w:tc>
          <w:tcPr>
            <w:tcW w:type="dxa" w:w="11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10,6%</w:t>
            </w:r>
          </w:p>
        </w:tc>
        <w:tc>
          <w:tcPr>
            <w:tcW w:type="dxa" w:w="3526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Som/projecao 5 salas - Video e drone - Streaming - Interpretacao PT/EN/ES</w:t>
            </w:r>
          </w:p>
        </w:tc>
      </w:tr>
      <w:tr>
        <w:tc>
          <w:tcPr>
            <w:tcW w:type="dxa" w:w="32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Comunicacao e Marketing</w:t>
            </w:r>
          </w:p>
        </w:tc>
        <w:tc>
          <w:tcPr>
            <w:tcW w:type="dxa" w:w="12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40.000</w:t>
            </w:r>
          </w:p>
        </w:tc>
        <w:tc>
          <w:tcPr>
            <w:tcW w:type="dxa" w:w="11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12,1%</w:t>
            </w:r>
          </w:p>
        </w:tc>
        <w:tc>
          <w:tcPr>
            <w:tcW w:type="dxa" w:w="3526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Agencia integrada - Website - Pub. digital - RP internacional - Impressao</w:t>
            </w:r>
          </w:p>
        </w:tc>
      </w:tr>
      <w:tr>
        <w:tc>
          <w:tcPr>
            <w:tcW w:type="dxa" w:w="32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Programa e Conteudo</w:t>
            </w:r>
          </w:p>
        </w:tc>
        <w:tc>
          <w:tcPr>
            <w:tcW w:type="dxa" w:w="12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22.000</w:t>
            </w:r>
          </w:p>
        </w:tc>
        <w:tc>
          <w:tcPr>
            <w:tcW w:type="dxa" w:w="11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6,7%</w:t>
            </w:r>
          </w:p>
        </w:tc>
        <w:tc>
          <w:tcPr>
            <w:tcW w:type="dxa" w:w="3526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Cachets speakers - Workshops - Guias - Animacao cultural - Kits</w:t>
            </w:r>
          </w:p>
        </w:tc>
      </w:tr>
      <w:tr>
        <w:tc>
          <w:tcPr>
            <w:tcW w:type="dxa" w:w="32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Equipa e Recursos Humanos</w:t>
            </w:r>
          </w:p>
        </w:tc>
        <w:tc>
          <w:tcPr>
            <w:tcW w:type="dxa" w:w="12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45.000</w:t>
            </w:r>
          </w:p>
        </w:tc>
        <w:tc>
          <w:tcPr>
            <w:tcW w:type="dxa" w:w="11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13,6%</w:t>
            </w:r>
          </w:p>
        </w:tc>
        <w:tc>
          <w:tcPr>
            <w:tcW w:type="dxa" w:w="3526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Director projecto - Coordenador - Gestor comunicacao - Equipa evento</w:t>
            </w:r>
          </w:p>
        </w:tc>
      </w:tr>
      <w:tr>
        <w:tc>
          <w:tcPr>
            <w:tcW w:type="dxa" w:w="32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Seguros e Administrativo</w:t>
            </w:r>
          </w:p>
        </w:tc>
        <w:tc>
          <w:tcPr>
            <w:tcW w:type="dxa" w:w="12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13.000</w:t>
            </w:r>
          </w:p>
        </w:tc>
        <w:tc>
          <w:tcPr>
            <w:tcW w:type="dxa" w:w="11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3,9%</w:t>
            </w:r>
          </w:p>
        </w:tc>
        <w:tc>
          <w:tcPr>
            <w:tcW w:type="dxa" w:w="3526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Seguro evento - Seguro cancelamento - Contabilidade - Juridico</w:t>
            </w:r>
          </w:p>
        </w:tc>
      </w:tr>
      <w:tr>
        <w:tc>
          <w:tcPr>
            <w:tcW w:type="dxa" w:w="32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Sustentabilidade e Carbono</w:t>
            </w:r>
          </w:p>
        </w:tc>
        <w:tc>
          <w:tcPr>
            <w:tcW w:type="dxa" w:w="12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3.500</w:t>
            </w:r>
          </w:p>
        </w:tc>
        <w:tc>
          <w:tcPr>
            <w:tcW w:type="dxa" w:w="11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1,1%</w:t>
            </w:r>
          </w:p>
        </w:tc>
        <w:tc>
          <w:tcPr>
            <w:tcW w:type="dxa" w:w="3526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Calculadora carbono - Certificacao FSC - Compostagem - Certificador</w:t>
            </w:r>
          </w:p>
        </w:tc>
      </w:tr>
      <w:tr>
        <w:tc>
          <w:tcPr>
            <w:tcW w:type="dxa" w:w="32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Reserva Imprevistos (5%)</w:t>
            </w:r>
          </w:p>
        </w:tc>
        <w:tc>
          <w:tcPr>
            <w:tcW w:type="dxa" w:w="12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16.500</w:t>
            </w:r>
          </w:p>
        </w:tc>
        <w:tc>
          <w:tcPr>
            <w:tcW w:type="dxa" w:w="11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5,0%</w:t>
            </w:r>
          </w:p>
        </w:tc>
        <w:tc>
          <w:tcPr>
            <w:tcW w:type="dxa" w:w="3526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Reserva obrigatoria - aprovacao comissao de gestao</w:t>
            </w:r>
          </w:p>
        </w:tc>
      </w:tr>
      <w:tr>
        <w:tc>
          <w:tcPr>
            <w:tcW w:type="dxa" w:w="3200"/>
            <w:tcBorders>
              <w:top w:val="single" w:color="C49A28" w:sz="6"/>
              <w:left w:val="single" w:color="C49A28" w:sz="6"/>
              <w:bottom w:val="single" w:color="C49A28" w:sz="6"/>
              <w:right w:val="single" w:color="C49A28" w:sz="6"/>
            </w:tcBorders>
            <w:shd w:fill="C49A28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A1208"/>
                <w:sz w:val="20"/>
                <w:szCs w:val="20"/>
              </w:rPr>
              <w:t xml:space="preserve">TOTAL DESPESAS</w:t>
            </w:r>
          </w:p>
        </w:tc>
        <w:tc>
          <w:tcPr>
            <w:tcW w:type="dxa" w:w="1200"/>
            <w:tcBorders>
              <w:top w:val="single" w:color="C49A28" w:sz="6"/>
              <w:left w:val="single" w:color="C49A28" w:sz="6"/>
              <w:bottom w:val="single" w:color="C49A28" w:sz="6"/>
              <w:right w:val="single" w:color="C49A28" w:sz="6"/>
            </w:tcBorders>
            <w:shd w:fill="FFF8E8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333.000</w:t>
            </w:r>
          </w:p>
        </w:tc>
        <w:tc>
          <w:tcPr>
            <w:tcW w:type="dxa" w:w="1100"/>
            <w:tcBorders>
              <w:top w:val="single" w:color="C49A28" w:sz="6"/>
              <w:left w:val="single" w:color="C49A28" w:sz="6"/>
              <w:bottom w:val="single" w:color="C49A28" w:sz="6"/>
              <w:right w:val="single" w:color="C49A28" w:sz="6"/>
            </w:tcBorders>
            <w:shd w:fill="FFF8E8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100%</w:t>
            </w:r>
          </w:p>
        </w:tc>
        <w:tc>
          <w:tcPr>
            <w:tcW w:type="dxa" w:w="3526"/>
            <w:tcBorders>
              <w:top w:val="single" w:color="C49A28" w:sz="6"/>
              <w:left w:val="single" w:color="C49A28" w:sz="6"/>
              <w:bottom w:val="single" w:color="C49A28" w:sz="6"/>
              <w:right w:val="single" w:color="C49A28" w:sz="6"/>
            </w:tcBorders>
            <w:shd w:fill="FFF8E8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Margem positiva: 12.000 EUR</w:t>
            </w:r>
          </w:p>
        </w:tc>
      </w:tr>
    </w:tbl>
    <w:p>
      <w:pPr>
        <w:spacing w:after="0" w:before="120"/>
      </w:pPr>
      <w:r>
        <w:t xml:space="preserve"/>
      </w:r>
    </w:p>
    <w:p>
      <w:pPr>
        <w:pBdr>
          <w:left w:val="single" w:color="C49A28" w:sz="16" w:space="4"/>
        </w:pBdr>
        <w:spacing w:after="80" w:before="80"/>
        <w:ind w:left="720"/>
      </w:pPr>
      <w:r>
        <w:rPr>
          <w:rFonts w:ascii="Arial" w:cs="Arial" w:eastAsia="Arial" w:hAnsi="Arial"/>
          <w:color w:val="8C7A6A"/>
          <w:sz w:val="20"/>
          <w:szCs w:val="20"/>
        </w:rPr>
        <w:t xml:space="preserve">Benchmarks: alojamento/noite (parceiro) 75-90 EUR; refeicao/pax 22-25 EUR; transfer aeroporto/pax 30-40 EUR; guia bilingue/dia 400-600 EUR; producao audiovisual/dia 1.800-3.200 EUR. Fontes: cotacoes de mercado e Turismo de Portugal 2023.</w:t>
      </w:r>
    </w:p>
    <w:p>
      <w:pPr>
        <w:spacing w:after="0" w:before="120"/>
      </w:pPr>
      <w:r>
        <w:t xml:space="preserve"/>
      </w:r>
    </w:p>
    <w:p>
      <w:pPr>
        <w:pStyle w:val="Heading2"/>
        <w:spacing w:after="120" w:before="320"/>
      </w:pPr>
      <w:r>
        <w:rPr>
          <w:rFonts w:ascii="Georgia" w:cs="Georgia" w:eastAsia="Georgia" w:hAnsi="Georgia"/>
          <w:b/>
          <w:bCs/>
          <w:color w:val="1B3527"/>
          <w:sz w:val="28"/>
          <w:szCs w:val="28"/>
        </w:rPr>
        <w:t xml:space="preserve">5.3 Justificacao das Principais Rubricas</w:t>
      </w:r>
    </w:p>
    <w:p>
      <w:pPr>
        <w:pStyle w:val="Heading3"/>
        <w:spacing w:after="80" w:before="240"/>
      </w:pPr>
      <w:r>
        <w:rPr>
          <w:rFonts w:ascii="Arial" w:cs="Arial" w:eastAsia="Arial" w:hAnsi="Arial"/>
          <w:b/>
          <w:bCs/>
          <w:color w:val="2D5C42"/>
          <w:sz w:val="24"/>
          <w:szCs w:val="24"/>
        </w:rPr>
        <w:t xml:space="preserve">Alojamento e Espacos - 65.000 EUR (19,7%)</w:t>
      </w:r>
    </w:p>
    <w:p>
      <w:pPr>
        <w:spacing w:after="160" w:before="0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cedencia do Paco dos Duques e do Castelo pela Camara Municipal (valorizada em 20.000-30.000 EUR) nao esta contabilizada - representa apoio em especie adicional. O Centro Cultural Vila Flor e o espaco principal para sessoes plenarias (3 dias x 3.000 EUR/dia).</w:t>
      </w:r>
    </w:p>
    <w:p>
      <w:pPr>
        <w:pStyle w:val="Heading3"/>
        <w:spacing w:after="80" w:before="240"/>
      </w:pPr>
      <w:r>
        <w:rPr>
          <w:rFonts w:ascii="Arial" w:cs="Arial" w:eastAsia="Arial" w:hAnsi="Arial"/>
          <w:b/>
          <w:bCs/>
          <w:color w:val="2D5C42"/>
          <w:sz w:val="24"/>
          <w:szCs w:val="24"/>
        </w:rPr>
        <w:t xml:space="preserve">Equipa e Recursos Humanos - 45.000 EUR (13,6%)</w:t>
      </w:r>
    </w:p>
    <w:p>
      <w:pPr>
        <w:spacing w:after="160" w:before="0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Director de projecto a tempo inteiro 6 meses (15.000 EUR) + coordenador de producao (7.000 EUR) + gestor comunicacao (5.500 EUR) + gestor parcerias (5.000 EUR) + equipa evento (6.000 EUR) + consultoria turismo internacional (5.500 EUR para 80h).</w:t>
      </w:r>
    </w:p>
    <w:p>
      <w:pPr>
        <w:pStyle w:val="Heading3"/>
        <w:spacing w:after="80" w:before="240"/>
      </w:pPr>
      <w:r>
        <w:rPr>
          <w:rFonts w:ascii="Arial" w:cs="Arial" w:eastAsia="Arial" w:hAnsi="Arial"/>
          <w:b/>
          <w:bCs/>
          <w:color w:val="2D5C42"/>
          <w:sz w:val="24"/>
          <w:szCs w:val="24"/>
        </w:rPr>
        <w:t xml:space="preserve">Reserva para Imprevistos - 16.500 EUR (5%)</w:t>
      </w:r>
    </w:p>
    <w:p>
      <w:pPr>
        <w:spacing w:after="160" w:before="0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Norma da industria para eventos de 1.a edicao. Utilizacao sujeita a aprovacao da comissao de gestao com prestacao de contas no relatorio final.</w:t>
      </w:r>
    </w:p>
    <w:p>
      <w:pPr>
        <w:spacing w:after="0" w:before="120"/>
      </w:pPr>
      <w:r>
        <w:t xml:space="preserve"/>
      </w:r>
    </w:p>
    <w:p>
      <w:pPr>
        <w:pStyle w:val="Heading2"/>
        <w:spacing w:after="120" w:before="320"/>
      </w:pPr>
      <w:r>
        <w:rPr>
          <w:rFonts w:ascii="Georgia" w:cs="Georgia" w:eastAsia="Georgia" w:hAnsi="Georgia"/>
          <w:b/>
          <w:bCs/>
          <w:color w:val="1B3527"/>
          <w:sz w:val="28"/>
          <w:szCs w:val="28"/>
        </w:rPr>
        <w:t xml:space="preserve">5.4 Plano de Contingencia Financeira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b/>
          <w:bCs/>
          <w:color w:val="1B3527"/>
          <w:sz w:val="22"/>
          <w:szCs w:val="22"/>
        </w:rPr>
        <w:t xml:space="preserve">Gatilho 1 - Cenario A (8 meses antes):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Se confirmacoes &lt;80 operadores e patrocinios confirmados &lt;100.000 EUR, activa Cenario A com reducao proporcional de todas as rubricas.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b/>
          <w:bCs/>
          <w:color w:val="1B3527"/>
          <w:sz w:val="22"/>
          <w:szCs w:val="22"/>
        </w:rPr>
        <w:t xml:space="preserve">Gatilho 2 - Reducao de Despesas (6 meses antes):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Se patrocinios confirmados &lt;60% da meta, reduz comunicacao (-20%), producao (-15%) e programa (-10%).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b/>
          <w:bCs/>
          <w:color w:val="1B3527"/>
          <w:sz w:val="22"/>
          <w:szCs w:val="22"/>
        </w:rPr>
        <w:t xml:space="preserve">Gatilho 3 - Cancelamento (4 meses antes):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Se confirmacoes &lt;50 operadores e patrocinios &lt;40% da meta, reuniao de emergencia com a Camara para decisao conjunta.</w:t>
      </w:r>
    </w:p>
    <w:p>
      <w:pPr>
        <w:pBdr>
          <w:left w:val="single" w:color="C49A28" w:sz="16" w:space="4"/>
        </w:pBdr>
        <w:spacing w:after="80" w:before="80"/>
        <w:ind w:left="720"/>
      </w:pPr>
      <w:r>
        <w:rPr>
          <w:rFonts w:ascii="Arial" w:cs="Arial" w:eastAsia="Arial" w:hAnsi="Arial"/>
          <w:color w:val="8C7A6A"/>
          <w:sz w:val="20"/>
          <w:szCs w:val="20"/>
        </w:rPr>
        <w:t xml:space="preserve">O seguro de cancelamento cobre 80% das despesas ja comprometidas em caso de cancelamento por forca maior.</w:t>
      </w:r>
    </w:p>
    <w:p>
      <w:pPr>
        <w:spacing w:after="0" w:before="120"/>
      </w:pPr>
      <w:r>
        <w:t xml:space="preserve"/>
      </w:r>
    </w:p>
    <w:p>
      <w:pPr>
        <w:pStyle w:val="Heading2"/>
        <w:spacing w:after="120" w:before="320"/>
      </w:pPr>
      <w:r>
        <w:rPr>
          <w:rFonts w:ascii="Georgia" w:cs="Georgia" w:eastAsia="Georgia" w:hAnsi="Georgia"/>
          <w:b/>
          <w:bCs/>
          <w:color w:val="1B3527"/>
          <w:sz w:val="28"/>
          <w:szCs w:val="28"/>
        </w:rPr>
        <w:t xml:space="preserve">5.5 Retorno do Investimento Publico</w:t>
      </w:r>
    </w:p>
    <w:p>
      <w:pPr>
        <w:spacing w:after="160" w:before="0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Formula de calculo do impacto economico directo (Cenario B): 125 operadores x 180 EUR gasto medio/dia x 5 dias = 112.500 EUR x multiplicador 2,5 (Turismo de Portugal 2023) = 281.250 EUR x impacto indirecto = 1,5M+ EUR.</w:t>
      </w:r>
    </w:p>
    <w:p>
      <w:pPr>
        <w:spacing w:after="0" w:before="6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000"/>
        <w:gridCol w:w="2513"/>
        <w:gridCol w:w="2513"/>
      </w:tblGrid>
      <w:tr>
        <w:trPr>
          <w:tblHeader/>
        </w:trPr>
        <w:tc>
          <w:tcPr>
            <w:tcW w:type="dxa" w:w="4000"/>
            <w:tcBorders>
              <w:top w:val="single" w:color="1B3527" w:sz="4"/>
              <w:left w:val="single" w:color="1B3527" w:sz="4"/>
              <w:bottom w:val="single" w:color="1B3527" w:sz="4"/>
              <w:right w:val="single" w:color="1B3527" w:sz="4"/>
            </w:tcBorders>
            <w:shd w:fill="1B3527" w:val="clear"/>
            <w:tcMar>
              <w:top w:type="dxa" w:w="80"/>
              <w:left w:type="dxa" w:w="160"/>
              <w:bottom w:type="dxa" w:w="8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Indicador de Retorno</w:t>
            </w:r>
          </w:p>
        </w:tc>
        <w:tc>
          <w:tcPr>
            <w:tcW w:type="dxa" w:w="2513"/>
            <w:tcBorders>
              <w:top w:val="single" w:color="1B3527" w:sz="4"/>
              <w:left w:val="single" w:color="1B3527" w:sz="4"/>
              <w:bottom w:val="single" w:color="1B3527" w:sz="4"/>
              <w:right w:val="single" w:color="1B3527" w:sz="4"/>
            </w:tcBorders>
            <w:shd w:fill="1B3527" w:val="clear"/>
            <w:tcMar>
              <w:top w:type="dxa" w:w="80"/>
              <w:left w:type="dxa" w:w="160"/>
              <w:bottom w:type="dxa" w:w="8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Cenario B</w:t>
            </w:r>
          </w:p>
        </w:tc>
        <w:tc>
          <w:tcPr>
            <w:tcW w:type="dxa" w:w="2513"/>
            <w:tcBorders>
              <w:top w:val="single" w:color="1B3527" w:sz="4"/>
              <w:left w:val="single" w:color="1B3527" w:sz="4"/>
              <w:bottom w:val="single" w:color="1B3527" w:sz="4"/>
              <w:right w:val="single" w:color="1B3527" w:sz="4"/>
            </w:tcBorders>
            <w:shd w:fill="1B3527" w:val="clear"/>
            <w:tcMar>
              <w:top w:type="dxa" w:w="80"/>
              <w:left w:type="dxa" w:w="160"/>
              <w:bottom w:type="dxa" w:w="8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Cenario C</w:t>
            </w:r>
          </w:p>
        </w:tc>
      </w:tr>
      <w:tr>
        <w:tc>
          <w:tcPr>
            <w:tcW w:type="dxa" w:w="40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Impacto economico directo estimado</w:t>
            </w:r>
          </w:p>
        </w:tc>
        <w:tc>
          <w:tcPr>
            <w:tcW w:type="dxa" w:w="2513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1,5M+ EUR</w:t>
            </w:r>
          </w:p>
        </w:tc>
        <w:tc>
          <w:tcPr>
            <w:tcW w:type="dxa" w:w="2513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3M+ EUR</w:t>
            </w:r>
          </w:p>
        </w:tc>
      </w:tr>
      <w:tr>
        <w:tc>
          <w:tcPr>
            <w:tcW w:type="dxa" w:w="40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Retorno por EUR1 de investimento publico</w:t>
            </w:r>
          </w:p>
        </w:tc>
        <w:tc>
          <w:tcPr>
            <w:tcW w:type="dxa" w:w="2513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15,0</w:t>
            </w:r>
          </w:p>
        </w:tc>
        <w:tc>
          <w:tcPr>
            <w:tcW w:type="dxa" w:w="2513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20,0</w:t>
            </w:r>
          </w:p>
        </w:tc>
      </w:tr>
      <w:tr>
        <w:tc>
          <w:tcPr>
            <w:tcW w:type="dxa" w:w="40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Acordos comerciais formalizados</w:t>
            </w:r>
          </w:p>
        </w:tc>
        <w:tc>
          <w:tcPr>
            <w:tcW w:type="dxa" w:w="2513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40-60</w:t>
            </w:r>
          </w:p>
        </w:tc>
        <w:tc>
          <w:tcPr>
            <w:tcW w:type="dxa" w:w="2513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80-120</w:t>
            </w:r>
          </w:p>
        </w:tc>
      </w:tr>
      <w:tr>
        <w:tc>
          <w:tcPr>
            <w:tcW w:type="dxa" w:w="40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Paises com Guimaraes nos catalogos</w:t>
            </w:r>
          </w:p>
        </w:tc>
        <w:tc>
          <w:tcPr>
            <w:tcW w:type="dxa" w:w="2513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18+</w:t>
            </w:r>
          </w:p>
        </w:tc>
        <w:tc>
          <w:tcPr>
            <w:tcW w:type="dxa" w:w="2513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22+</w:t>
            </w:r>
          </w:p>
        </w:tc>
      </w:tr>
      <w:tr>
        <w:tc>
          <w:tcPr>
            <w:tcW w:type="dxa" w:w="40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Visitantes adicionais gerados (ano 1)</w:t>
            </w:r>
          </w:p>
        </w:tc>
        <w:tc>
          <w:tcPr>
            <w:tcW w:type="dxa" w:w="2513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2.000+</w:t>
            </w:r>
          </w:p>
        </w:tc>
        <w:tc>
          <w:tcPr>
            <w:tcW w:type="dxa" w:w="2513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5.000+</w:t>
            </w:r>
          </w:p>
        </w:tc>
      </w:tr>
      <w:tr>
        <w:tc>
          <w:tcPr>
            <w:tcW w:type="dxa" w:w="40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Compras locais injectadas no municipio</w:t>
            </w:r>
          </w:p>
        </w:tc>
        <w:tc>
          <w:tcPr>
            <w:tcW w:type="dxa" w:w="2513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120.000+ EUR</w:t>
            </w:r>
          </w:p>
        </w:tc>
        <w:tc>
          <w:tcPr>
            <w:tcW w:type="dxa" w:w="2513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200.000+ EUR</w:t>
            </w:r>
          </w:p>
        </w:tc>
      </w:tr>
      <w:tr>
        <w:tc>
          <w:tcPr>
            <w:tcW w:type="dxa" w:w="4000"/>
            <w:tcBorders>
              <w:top w:val="single" w:color="C49A28" w:sz="6"/>
              <w:left w:val="single" w:color="C49A28" w:sz="6"/>
              <w:bottom w:val="single" w:color="C49A28" w:sz="6"/>
              <w:right w:val="single" w:color="C49A28" w:sz="6"/>
            </w:tcBorders>
            <w:shd w:fill="C49A28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A1208"/>
                <w:sz w:val="20"/>
                <w:szCs w:val="20"/>
              </w:rPr>
              <w:t xml:space="preserve">Empregos temporarios locais criados</w:t>
            </w:r>
          </w:p>
        </w:tc>
        <w:tc>
          <w:tcPr>
            <w:tcW w:type="dxa" w:w="2513"/>
            <w:tcBorders>
              <w:top w:val="single" w:color="C49A28" w:sz="6"/>
              <w:left w:val="single" w:color="C49A28" w:sz="6"/>
              <w:bottom w:val="single" w:color="C49A28" w:sz="6"/>
              <w:right w:val="single" w:color="C49A28" w:sz="6"/>
            </w:tcBorders>
            <w:shd w:fill="FFF8E8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50+</w:t>
            </w:r>
          </w:p>
        </w:tc>
        <w:tc>
          <w:tcPr>
            <w:tcW w:type="dxa" w:w="2513"/>
            <w:tcBorders>
              <w:top w:val="single" w:color="C49A28" w:sz="6"/>
              <w:left w:val="single" w:color="C49A28" w:sz="6"/>
              <w:bottom w:val="single" w:color="C49A28" w:sz="6"/>
              <w:right w:val="single" w:color="C49A28" w:sz="6"/>
            </w:tcBorders>
            <w:shd w:fill="FFF8E8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120+</w:t>
            </w:r>
          </w:p>
        </w:tc>
      </w:tr>
    </w:tbl>
    <w:p>
      <w:r>
        <w:br w:type="page"/>
      </w:r>
    </w:p>
    <w:p>
      <w:pPr>
        <w:spacing w:after="0" w:before="400"/>
      </w:pPr>
      <w:r>
        <w:t xml:space="preserve"/>
      </w:r>
    </w:p>
    <w:p>
      <w:pPr>
        <w:shd w:fill="1B3527" w:val="clear"/>
        <w:spacing w:after="0" w:before="0"/>
      </w:pPr>
      <w:r>
        <w:rPr>
          <w:rFonts w:ascii="Arial" w:cs="Arial" w:eastAsia="Arial" w:hAnsi="Arial"/>
          <w:b/>
          <w:bCs/>
          <w:color w:val="FFFFFF"/>
          <w:spacing w:val="80"/>
          <w:sz w:val="28"/>
          <w:szCs w:val="28"/>
        </w:rPr>
        <w:t xml:space="preserve">  6. SUSTENTABILIDADE E RESPONSABILIDADE AMBIENTAL  </w:t>
      </w:r>
    </w:p>
    <w:p>
      <w:pPr>
        <w:shd w:fill="2D5C42" w:val="clear"/>
        <w:spacing w:after="200" w:before="0"/>
      </w:pPr>
      <w:r>
        <w:rPr>
          <w:rFonts w:ascii="Arial" w:cs="Arial" w:eastAsia="Arial" w:hAnsi="Arial"/>
          <w:color w:val="E8D5A3"/>
          <w:sz w:val="20"/>
          <w:szCs w:val="20"/>
        </w:rPr>
        <w:t xml:space="preserve">  Compromisso formal e mensuravel</w:t>
      </w:r>
    </w:p>
    <w:p>
      <w:pPr>
        <w:pStyle w:val="Heading2"/>
        <w:spacing w:after="120" w:before="320"/>
      </w:pPr>
      <w:r>
        <w:rPr>
          <w:rFonts w:ascii="Georgia" w:cs="Georgia" w:eastAsia="Georgia" w:hAnsi="Georgia"/>
          <w:b/>
          <w:bCs/>
          <w:color w:val="1B3527"/>
          <w:sz w:val="28"/>
          <w:szCs w:val="28"/>
        </w:rPr>
        <w:t xml:space="preserve">6.1 Politica de Sustentabilidade - 4 Pilares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b/>
          <w:bCs/>
          <w:color w:val="1B3527"/>
          <w:sz w:val="22"/>
          <w:szCs w:val="22"/>
        </w:rPr>
        <w:t xml:space="preserve">Pilar 1 - Medir e Compensar: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Calculadora de carbono para todos os participantes. Compensacao via projectos florestais certificados do Minho. Meta: evento carbon neutral na 1.a edicao. Parceiro certificador a identificar em parceria com a Camara Municipal (SGS Portugal, Bureau Veritas ou programa do Turismo de Portugal).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b/>
          <w:bCs/>
          <w:color w:val="1B3527"/>
          <w:sz w:val="22"/>
          <w:szCs w:val="22"/>
        </w:rPr>
        <w:t xml:space="preserve">Pilar 2 - Residuos Zero: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Dossies em papel FSC ou versao digital. Zero descartaveis em todo o evento. Compostagem de residuos organicos. Mobiliario reutilizavel.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b/>
          <w:bCs/>
          <w:color w:val="1B3527"/>
          <w:sz w:val="22"/>
          <w:szCs w:val="22"/>
        </w:rPr>
        <w:t xml:space="preserve">Pilar 3 - Mobilidade Verde: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Parceria CP - comboio Porto-Guimaraes em 57 min com bilhetes especiais. Shuttles electricos internos. Famtrips em bicicleta ou veiculos electricos sempre que possivel.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b/>
          <w:bCs/>
          <w:color w:val="1B3527"/>
          <w:sz w:val="22"/>
          <w:szCs w:val="22"/>
        </w:rPr>
        <w:t xml:space="preserve">Pilar 4 - Fornecimento Responsavel: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100% produtos de epoca. Prioridade a agricultores biologicos e DOP/IGP. Vinho Verde com certificacao sustentavel. Textil de evento em algodao organico local.</w:t>
      </w:r>
    </w:p>
    <w:p>
      <w:pPr>
        <w:pBdr>
          <w:left w:val="single" w:color="C49A28" w:sz="16" w:space="4"/>
        </w:pBdr>
        <w:spacing w:after="80" w:before="80"/>
        <w:ind w:left="720"/>
      </w:pPr>
      <w:r>
        <w:rPr>
          <w:rFonts w:ascii="Arial" w:cs="Arial" w:eastAsia="Arial" w:hAnsi="Arial"/>
          <w:color w:val="8C7A6A"/>
          <w:sz w:val="20"/>
          <w:szCs w:val="20"/>
        </w:rPr>
        <w:t xml:space="preserve">A politica de sustentabilidade e condicao de elegibilidade para candidatura ao Portugal 2030 - Turismo Sustentavel e para programas Creative Europe.</w:t>
      </w:r>
    </w:p>
    <w:p>
      <w:r>
        <w:br w:type="page"/>
      </w:r>
    </w:p>
    <w:p>
      <w:pPr>
        <w:spacing w:after="0" w:before="400"/>
      </w:pPr>
      <w:r>
        <w:t xml:space="preserve"/>
      </w:r>
    </w:p>
    <w:p>
      <w:pPr>
        <w:shd w:fill="1B3527" w:val="clear"/>
        <w:spacing w:after="0" w:before="0"/>
      </w:pPr>
      <w:r>
        <w:rPr>
          <w:rFonts w:ascii="Arial" w:cs="Arial" w:eastAsia="Arial" w:hAnsi="Arial"/>
          <w:b/>
          <w:bCs/>
          <w:color w:val="FFFFFF"/>
          <w:spacing w:val="80"/>
          <w:sz w:val="28"/>
          <w:szCs w:val="28"/>
        </w:rPr>
        <w:t xml:space="preserve">  7. METRICAS DE IMPACTO NO ECOSSISTEMA LOCAL  </w:t>
      </w:r>
    </w:p>
    <w:p>
      <w:pPr>
        <w:shd w:fill="2D5C42" w:val="clear"/>
        <w:spacing w:after="200" w:before="0"/>
      </w:pPr>
      <w:r>
        <w:rPr>
          <w:rFonts w:ascii="Arial" w:cs="Arial" w:eastAsia="Arial" w:hAnsi="Arial"/>
          <w:color w:val="E8D5A3"/>
          <w:sz w:val="20"/>
          <w:szCs w:val="20"/>
        </w:rPr>
        <w:t xml:space="preserve">  Indicadores auditaveis e publicos</w:t>
      </w:r>
    </w:p>
    <w:p>
      <w:pPr>
        <w:pStyle w:val="Heading2"/>
        <w:spacing w:after="120" w:before="320"/>
      </w:pPr>
      <w:r>
        <w:rPr>
          <w:rFonts w:ascii="Georgia" w:cs="Georgia" w:eastAsia="Georgia" w:hAnsi="Georgia"/>
          <w:b/>
          <w:bCs/>
          <w:color w:val="1B3527"/>
          <w:sz w:val="28"/>
          <w:szCs w:val="28"/>
        </w:rPr>
        <w:t xml:space="preserve">7.1 KPIs do Ecossistema - Relatorio Pos-Evento</w:t>
      </w:r>
    </w:p>
    <w:p>
      <w:pPr>
        <w:spacing w:after="0" w:before="6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000"/>
        <w:gridCol w:w="1700"/>
        <w:gridCol w:w="3326"/>
      </w:tblGrid>
      <w:tr>
        <w:trPr>
          <w:tblHeader/>
        </w:trPr>
        <w:tc>
          <w:tcPr>
            <w:tcW w:type="dxa" w:w="4000"/>
            <w:tcBorders>
              <w:top w:val="single" w:color="1B3527" w:sz="4"/>
              <w:left w:val="single" w:color="1B3527" w:sz="4"/>
              <w:bottom w:val="single" w:color="1B3527" w:sz="4"/>
              <w:right w:val="single" w:color="1B3527" w:sz="4"/>
            </w:tcBorders>
            <w:shd w:fill="1B3527" w:val="clear"/>
            <w:tcMar>
              <w:top w:type="dxa" w:w="80"/>
              <w:left w:type="dxa" w:w="160"/>
              <w:bottom w:type="dxa" w:w="8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Indicador de Impacto Local</w:t>
            </w:r>
          </w:p>
        </w:tc>
        <w:tc>
          <w:tcPr>
            <w:tcW w:type="dxa" w:w="1700"/>
            <w:tcBorders>
              <w:top w:val="single" w:color="1B3527" w:sz="4"/>
              <w:left w:val="single" w:color="1B3527" w:sz="4"/>
              <w:bottom w:val="single" w:color="1B3527" w:sz="4"/>
              <w:right w:val="single" w:color="1B3527" w:sz="4"/>
            </w:tcBorders>
            <w:shd w:fill="1B3527" w:val="clear"/>
            <w:tcMar>
              <w:top w:type="dxa" w:w="80"/>
              <w:left w:type="dxa" w:w="160"/>
              <w:bottom w:type="dxa" w:w="8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Meta Minima</w:t>
            </w:r>
          </w:p>
        </w:tc>
        <w:tc>
          <w:tcPr>
            <w:tcW w:type="dxa" w:w="3326"/>
            <w:tcBorders>
              <w:top w:val="single" w:color="1B3527" w:sz="4"/>
              <w:left w:val="single" w:color="1B3527" w:sz="4"/>
              <w:bottom w:val="single" w:color="1B3527" w:sz="4"/>
              <w:right w:val="single" w:color="1B3527" w:sz="4"/>
            </w:tcBorders>
            <w:shd w:fill="1B3527" w:val="clear"/>
            <w:tcMar>
              <w:top w:type="dxa" w:w="80"/>
              <w:left w:type="dxa" w:w="160"/>
              <w:bottom w:type="dxa" w:w="8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Metodologia de Medicao</w:t>
            </w:r>
          </w:p>
        </w:tc>
      </w:tr>
      <w:tr>
        <w:tc>
          <w:tcPr>
            <w:tcW w:type="dxa" w:w="40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Fornecedores locais do municipio (% compras)</w:t>
            </w:r>
          </w:p>
        </w:tc>
        <w:tc>
          <w:tcPr>
            <w:tcW w:type="dxa" w:w="17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70%+</w:t>
            </w:r>
          </w:p>
        </w:tc>
        <w:tc>
          <w:tcPr>
            <w:tcW w:type="dxa" w:w="3326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Facturacao + contratos verificados</w:t>
            </w:r>
          </w:p>
        </w:tc>
      </w:tr>
      <w:tr>
        <w:tc>
          <w:tcPr>
            <w:tcW w:type="dxa" w:w="40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Micro-produtores na Feira (&lt;5 colaboradores)</w:t>
            </w:r>
          </w:p>
        </w:tc>
        <w:tc>
          <w:tcPr>
            <w:tcW w:type="dxa" w:w="17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20+</w:t>
            </w:r>
          </w:p>
        </w:tc>
        <w:tc>
          <w:tcPr>
            <w:tcW w:type="dxa" w:w="3326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Candidatura + verificacao NIF</w:t>
            </w:r>
          </w:p>
        </w:tc>
      </w:tr>
      <w:tr>
        <w:tc>
          <w:tcPr>
            <w:tcW w:type="dxa" w:w="40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AL do Concelho no Programa Dormir no Territorio</w:t>
            </w:r>
          </w:p>
        </w:tc>
        <w:tc>
          <w:tcPr>
            <w:tcW w:type="dxa" w:w="17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15+</w:t>
            </w:r>
          </w:p>
        </w:tc>
        <w:tc>
          <w:tcPr>
            <w:tcW w:type="dxa" w:w="3326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Reservas + noites confirmadas</w:t>
            </w:r>
          </w:p>
        </w:tc>
      </w:tr>
      <w:tr>
        <w:tc>
          <w:tcPr>
            <w:tcW w:type="dxa" w:w="40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Guias locais certificados empregues</w:t>
            </w:r>
          </w:p>
        </w:tc>
        <w:tc>
          <w:tcPr>
            <w:tcW w:type="dxa" w:w="17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16+</w:t>
            </w:r>
          </w:p>
        </w:tc>
        <w:tc>
          <w:tcPr>
            <w:tcW w:type="dxa" w:w="3326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Contratos de prestacao de servico</w:t>
            </w:r>
          </w:p>
        </w:tc>
      </w:tr>
      <w:tr>
        <w:tc>
          <w:tcPr>
            <w:tcW w:type="dxa" w:w="40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Compras totais a produtores locais</w:t>
            </w:r>
          </w:p>
        </w:tc>
        <w:tc>
          <w:tcPr>
            <w:tcW w:type="dxa" w:w="17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40.000+ EUR</w:t>
            </w:r>
          </w:p>
        </w:tc>
        <w:tc>
          <w:tcPr>
            <w:tcW w:type="dxa" w:w="3326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Registos contabilisticos auditados</w:t>
            </w:r>
          </w:p>
        </w:tc>
      </w:tr>
      <w:tr>
        <w:tc>
          <w:tcPr>
            <w:tcW w:type="dxa" w:w="40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Artesaos com acesso a matchmaking B2B</w:t>
            </w:r>
          </w:p>
        </w:tc>
        <w:tc>
          <w:tcPr>
            <w:tcW w:type="dxa" w:w="17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15+</w:t>
            </w:r>
          </w:p>
        </w:tc>
        <w:tc>
          <w:tcPr>
            <w:tcW w:type="dxa" w:w="3326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Reunioes registadas na plataforma</w:t>
            </w:r>
          </w:p>
        </w:tc>
      </w:tr>
      <w:tr>
        <w:tc>
          <w:tcPr>
            <w:tcW w:type="dxa" w:w="40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Empregos temporarios locais criados</w:t>
            </w:r>
          </w:p>
        </w:tc>
        <w:tc>
          <w:tcPr>
            <w:tcW w:type="dxa" w:w="17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50+</w:t>
            </w:r>
          </w:p>
        </w:tc>
        <w:tc>
          <w:tcPr>
            <w:tcW w:type="dxa" w:w="3326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Recibos verdes + contratos</w:t>
            </w:r>
          </w:p>
        </w:tc>
      </w:tr>
      <w:tr>
        <w:tc>
          <w:tcPr>
            <w:tcW w:type="dxa" w:w="40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Animacao e artistas locais (% total)</w:t>
            </w:r>
          </w:p>
        </w:tc>
        <w:tc>
          <w:tcPr>
            <w:tcW w:type="dxa" w:w="17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100%</w:t>
            </w:r>
          </w:p>
        </w:tc>
        <w:tc>
          <w:tcPr>
            <w:tcW w:type="dxa" w:w="3326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Contratos verificados</w:t>
            </w:r>
          </w:p>
        </w:tc>
      </w:tr>
      <w:tr>
        <w:tc>
          <w:tcPr>
            <w:tcW w:type="dxa" w:w="40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Acordos B2B formalizados no evento</w:t>
            </w:r>
          </w:p>
        </w:tc>
        <w:tc>
          <w:tcPr>
            <w:tcW w:type="dxa" w:w="17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40+</w:t>
            </w:r>
          </w:p>
        </w:tc>
        <w:tc>
          <w:tcPr>
            <w:tcW w:type="dxa" w:w="3326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Cartas de intencao assinadas</w:t>
            </w:r>
          </w:p>
        </w:tc>
      </w:tr>
      <w:tr>
        <w:tc>
          <w:tcPr>
            <w:tcW w:type="dxa" w:w="4000"/>
            <w:tcBorders>
              <w:top w:val="single" w:color="C49A28" w:sz="6"/>
              <w:left w:val="single" w:color="C49A28" w:sz="6"/>
              <w:bottom w:val="single" w:color="C49A28" w:sz="6"/>
              <w:right w:val="single" w:color="C49A28" w:sz="6"/>
            </w:tcBorders>
            <w:shd w:fill="C49A28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A1208"/>
                <w:sz w:val="20"/>
                <w:szCs w:val="20"/>
              </w:rPr>
              <w:t xml:space="preserve">Relatorio entregue a Camara Municipal</w:t>
            </w:r>
          </w:p>
        </w:tc>
        <w:tc>
          <w:tcPr>
            <w:tcW w:type="dxa" w:w="1700"/>
            <w:tcBorders>
              <w:top w:val="single" w:color="C49A28" w:sz="6"/>
              <w:left w:val="single" w:color="C49A28" w:sz="6"/>
              <w:bottom w:val="single" w:color="C49A28" w:sz="6"/>
              <w:right w:val="single" w:color="C49A28" w:sz="6"/>
            </w:tcBorders>
            <w:shd w:fill="FFF8E8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30 dias pos-evento</w:t>
            </w:r>
          </w:p>
        </w:tc>
        <w:tc>
          <w:tcPr>
            <w:tcW w:type="dxa" w:w="3326"/>
            <w:tcBorders>
              <w:top w:val="single" w:color="C49A28" w:sz="6"/>
              <w:left w:val="single" w:color="C49A28" w:sz="6"/>
              <w:bottom w:val="single" w:color="C49A28" w:sz="6"/>
              <w:right w:val="single" w:color="C49A28" w:sz="6"/>
            </w:tcBorders>
            <w:shd w:fill="FFF8E8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Publicacao no portal do municipio</w:t>
            </w:r>
          </w:p>
        </w:tc>
      </w:tr>
    </w:tbl>
    <w:p>
      <w:r>
        <w:br w:type="page"/>
      </w:r>
    </w:p>
    <w:p>
      <w:pPr>
        <w:spacing w:after="0" w:before="400"/>
      </w:pPr>
      <w:r>
        <w:t xml:space="preserve"/>
      </w:r>
    </w:p>
    <w:p>
      <w:pPr>
        <w:shd w:fill="1B3527" w:val="clear"/>
        <w:spacing w:after="0" w:before="0"/>
      </w:pPr>
      <w:r>
        <w:rPr>
          <w:rFonts w:ascii="Arial" w:cs="Arial" w:eastAsia="Arial" w:hAnsi="Arial"/>
          <w:b/>
          <w:bCs/>
          <w:color w:val="FFFFFF"/>
          <w:spacing w:val="80"/>
          <w:sz w:val="28"/>
          <w:szCs w:val="28"/>
        </w:rPr>
        <w:t xml:space="preserve">  8. ANALISE DE RISCO E VISAO PLURIANUAL  </w:t>
      </w:r>
    </w:p>
    <w:p>
      <w:pPr>
        <w:shd w:fill="2D5C42" w:val="clear"/>
        <w:spacing w:after="200" w:before="0"/>
      </w:pPr>
      <w:r>
        <w:rPr>
          <w:rFonts w:ascii="Arial" w:cs="Arial" w:eastAsia="Arial" w:hAnsi="Arial"/>
          <w:color w:val="E8D5A3"/>
          <w:sz w:val="20"/>
          <w:szCs w:val="20"/>
        </w:rPr>
        <w:t xml:space="preserve">  Identificacao, mitigacao e crescimento 2027-2029</w:t>
      </w:r>
    </w:p>
    <w:p>
      <w:pPr>
        <w:pStyle w:val="Heading2"/>
        <w:spacing w:after="120" w:before="320"/>
      </w:pPr>
      <w:r>
        <w:rPr>
          <w:rFonts w:ascii="Georgia" w:cs="Georgia" w:eastAsia="Georgia" w:hAnsi="Georgia"/>
          <w:b/>
          <w:bCs/>
          <w:color w:val="1B3527"/>
          <w:sz w:val="28"/>
          <w:szCs w:val="28"/>
        </w:rPr>
        <w:t xml:space="preserve">8.1 Matriz de Risco</w:t>
      </w:r>
    </w:p>
    <w:p>
      <w:pPr>
        <w:spacing w:after="0" w:before="6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1300"/>
        <w:gridCol w:w="1200"/>
        <w:gridCol w:w="3926"/>
      </w:tblGrid>
      <w:tr>
        <w:trPr>
          <w:tblHeader/>
        </w:trPr>
        <w:tc>
          <w:tcPr>
            <w:tcW w:type="dxa" w:w="2600"/>
            <w:tcBorders>
              <w:top w:val="single" w:color="1B3527" w:sz="4"/>
              <w:left w:val="single" w:color="1B3527" w:sz="4"/>
              <w:bottom w:val="single" w:color="1B3527" w:sz="4"/>
              <w:right w:val="single" w:color="1B3527" w:sz="4"/>
            </w:tcBorders>
            <w:shd w:fill="1B3527" w:val="clear"/>
            <w:tcMar>
              <w:top w:type="dxa" w:w="80"/>
              <w:left w:type="dxa" w:w="160"/>
              <w:bottom w:type="dxa" w:w="8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Risco</w:t>
            </w:r>
          </w:p>
        </w:tc>
        <w:tc>
          <w:tcPr>
            <w:tcW w:type="dxa" w:w="1300"/>
            <w:tcBorders>
              <w:top w:val="single" w:color="1B3527" w:sz="4"/>
              <w:left w:val="single" w:color="1B3527" w:sz="4"/>
              <w:bottom w:val="single" w:color="1B3527" w:sz="4"/>
              <w:right w:val="single" w:color="1B3527" w:sz="4"/>
            </w:tcBorders>
            <w:shd w:fill="1B3527" w:val="clear"/>
            <w:tcMar>
              <w:top w:type="dxa" w:w="80"/>
              <w:left w:type="dxa" w:w="160"/>
              <w:bottom w:type="dxa" w:w="8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Probab.</w:t>
            </w:r>
          </w:p>
        </w:tc>
        <w:tc>
          <w:tcPr>
            <w:tcW w:type="dxa" w:w="1200"/>
            <w:tcBorders>
              <w:top w:val="single" w:color="1B3527" w:sz="4"/>
              <w:left w:val="single" w:color="1B3527" w:sz="4"/>
              <w:bottom w:val="single" w:color="1B3527" w:sz="4"/>
              <w:right w:val="single" w:color="1B3527" w:sz="4"/>
            </w:tcBorders>
            <w:shd w:fill="1B3527" w:val="clear"/>
            <w:tcMar>
              <w:top w:type="dxa" w:w="80"/>
              <w:left w:type="dxa" w:w="160"/>
              <w:bottom w:type="dxa" w:w="8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Impacto</w:t>
            </w:r>
          </w:p>
        </w:tc>
        <w:tc>
          <w:tcPr>
            <w:tcW w:type="dxa" w:w="3926"/>
            <w:tcBorders>
              <w:top w:val="single" w:color="1B3527" w:sz="4"/>
              <w:left w:val="single" w:color="1B3527" w:sz="4"/>
              <w:bottom w:val="single" w:color="1B3527" w:sz="4"/>
              <w:right w:val="single" w:color="1B3527" w:sz="4"/>
            </w:tcBorders>
            <w:shd w:fill="1B3527" w:val="clear"/>
            <w:tcMar>
              <w:top w:type="dxa" w:w="80"/>
              <w:left w:type="dxa" w:w="160"/>
              <w:bottom w:type="dxa" w:w="8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Medida de Mitigacao</w:t>
            </w:r>
          </w:p>
        </w:tc>
      </w:tr>
      <w:tr>
        <w:tc>
          <w:tcPr>
            <w:tcW w:type="dxa" w:w="26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Inscricoes abaixo da meta</w:t>
            </w:r>
          </w:p>
        </w:tc>
        <w:tc>
          <w:tcPr>
            <w:tcW w:type="dxa" w:w="13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Media</w:t>
            </w:r>
          </w:p>
        </w:tc>
        <w:tc>
          <w:tcPr>
            <w:tcW w:type="dxa" w:w="12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Alto</w:t>
            </w:r>
          </w:p>
        </w:tc>
        <w:tc>
          <w:tcPr>
            <w:tcW w:type="dxa" w:w="3926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Gatilho Cenario A a 8 meses; campanha emergencia nos mercados prioritarios</w:t>
            </w:r>
          </w:p>
        </w:tc>
      </w:tr>
      <w:tr>
        <w:tc>
          <w:tcPr>
            <w:tcW w:type="dxa" w:w="26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Patrocinios nao atingidos</w:t>
            </w:r>
          </w:p>
        </w:tc>
        <w:tc>
          <w:tcPr>
            <w:tcW w:type="dxa" w:w="13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Media</w:t>
            </w:r>
          </w:p>
        </w:tc>
        <w:tc>
          <w:tcPr>
            <w:tcW w:type="dxa" w:w="12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Alto</w:t>
            </w:r>
          </w:p>
        </w:tc>
        <w:tc>
          <w:tcPr>
            <w:tcW w:type="dxa" w:w="3926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Gatilho reducao despesas a 6 meses; lista alternativa pre-identificada</w:t>
            </w:r>
          </w:p>
        </w:tc>
      </w:tr>
      <w:tr>
        <w:tc>
          <w:tcPr>
            <w:tcW w:type="dxa" w:w="26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Saida de parceiro ancora</w:t>
            </w:r>
          </w:p>
        </w:tc>
        <w:tc>
          <w:tcPr>
            <w:tcW w:type="dxa" w:w="13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Baixa</w:t>
            </w:r>
          </w:p>
        </w:tc>
        <w:tc>
          <w:tcPr>
            <w:tcW w:type="dxa" w:w="12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Alto</w:t>
            </w:r>
          </w:p>
        </w:tc>
        <w:tc>
          <w:tcPr>
            <w:tcW w:type="dxa" w:w="3926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Lista substitutos por categoria; clausula saida nos contratos (aviso 90 dias)</w:t>
            </w:r>
          </w:p>
        </w:tc>
      </w:tr>
      <w:tr>
        <w:tc>
          <w:tcPr>
            <w:tcW w:type="dxa" w:w="26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Condicoes meteorologicas</w:t>
            </w:r>
          </w:p>
        </w:tc>
        <w:tc>
          <w:tcPr>
            <w:tcW w:type="dxa" w:w="13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Baixa</w:t>
            </w:r>
          </w:p>
        </w:tc>
        <w:tc>
          <w:tcPr>
            <w:tcW w:type="dxa" w:w="12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Medio</w:t>
            </w:r>
          </w:p>
        </w:tc>
        <w:tc>
          <w:tcPr>
            <w:tcW w:type="dxa" w:w="3926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Plano B famtrips em espacos cobertos; seguro cancelamento cobre forca maior</w:t>
            </w:r>
          </w:p>
        </w:tc>
      </w:tr>
      <w:tr>
        <w:tc>
          <w:tcPr>
            <w:tcW w:type="dxa" w:w="26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Conflito de agenda imprevisto</w:t>
            </w:r>
          </w:p>
        </w:tc>
        <w:tc>
          <w:tcPr>
            <w:tcW w:type="dxa" w:w="13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Baixa</w:t>
            </w:r>
          </w:p>
        </w:tc>
        <w:tc>
          <w:tcPr>
            <w:tcW w:type="dxa" w:w="12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Alto</w:t>
            </w:r>
          </w:p>
        </w:tc>
        <w:tc>
          <w:tcPr>
            <w:tcW w:type="dxa" w:w="3926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Data alternativa reservada (semana seguinte)</w:t>
            </w:r>
          </w:p>
        </w:tc>
      </w:tr>
      <w:tr>
        <w:tc>
          <w:tcPr>
            <w:tcW w:type="dxa" w:w="2600"/>
            <w:tcBorders>
              <w:top w:val="single" w:color="C49A28" w:sz="6"/>
              <w:left w:val="single" w:color="C49A28" w:sz="6"/>
              <w:bottom w:val="single" w:color="C49A28" w:sz="6"/>
              <w:right w:val="single" w:color="C49A28" w:sz="6"/>
            </w:tcBorders>
            <w:shd w:fill="C49A28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A1208"/>
                <w:sz w:val="20"/>
                <w:szCs w:val="20"/>
              </w:rPr>
              <w:t xml:space="preserve">Cancelamento total</w:t>
            </w:r>
          </w:p>
        </w:tc>
        <w:tc>
          <w:tcPr>
            <w:tcW w:type="dxa" w:w="1300"/>
            <w:tcBorders>
              <w:top w:val="single" w:color="C49A28" w:sz="6"/>
              <w:left w:val="single" w:color="C49A28" w:sz="6"/>
              <w:bottom w:val="single" w:color="C49A28" w:sz="6"/>
              <w:right w:val="single" w:color="C49A28" w:sz="6"/>
            </w:tcBorders>
            <w:shd w:fill="FFF8E8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Muito Baixa</w:t>
            </w:r>
          </w:p>
        </w:tc>
        <w:tc>
          <w:tcPr>
            <w:tcW w:type="dxa" w:w="1200"/>
            <w:tcBorders>
              <w:top w:val="single" w:color="C49A28" w:sz="6"/>
              <w:left w:val="single" w:color="C49A28" w:sz="6"/>
              <w:bottom w:val="single" w:color="C49A28" w:sz="6"/>
              <w:right w:val="single" w:color="C49A28" w:sz="6"/>
            </w:tcBorders>
            <w:shd w:fill="FFF8E8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Critico</w:t>
            </w:r>
          </w:p>
        </w:tc>
        <w:tc>
          <w:tcPr>
            <w:tcW w:type="dxa" w:w="3926"/>
            <w:tcBorders>
              <w:top w:val="single" w:color="C49A28" w:sz="6"/>
              <w:left w:val="single" w:color="C49A28" w:sz="6"/>
              <w:bottom w:val="single" w:color="C49A28" w:sz="6"/>
              <w:right w:val="single" w:color="C49A28" w:sz="6"/>
            </w:tcBorders>
            <w:shd w:fill="FFF8E8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Seguro cobre 80% custos; protocolo comunicacao; devolucao inscricoes em 14 dias</w:t>
            </w:r>
          </w:p>
        </w:tc>
      </w:tr>
    </w:tbl>
    <w:p>
      <w:pPr>
        <w:spacing w:after="0" w:before="160"/>
      </w:pPr>
      <w:r>
        <w:t xml:space="preserve"/>
      </w:r>
    </w:p>
    <w:p>
      <w:pPr>
        <w:pStyle w:val="Heading2"/>
        <w:spacing w:after="120" w:before="320"/>
      </w:pPr>
      <w:r>
        <w:rPr>
          <w:rFonts w:ascii="Georgia" w:cs="Georgia" w:eastAsia="Georgia" w:hAnsi="Georgia"/>
          <w:b/>
          <w:bCs/>
          <w:color w:val="1B3527"/>
          <w:sz w:val="28"/>
          <w:szCs w:val="28"/>
        </w:rPr>
        <w:t xml:space="preserve">8.2 Visao Plurianual ORIGIN Summit 2027-2029</w:t>
      </w:r>
    </w:p>
    <w:p>
      <w:pPr>
        <w:spacing w:after="0" w:before="6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2200"/>
        <w:gridCol w:w="2200"/>
        <w:gridCol w:w="2226"/>
      </w:tblGrid>
      <w:tr>
        <w:trPr>
          <w:tblHeader/>
        </w:trPr>
        <w:tc>
          <w:tcPr>
            <w:tcW w:type="dxa" w:w="2400"/>
            <w:tcBorders>
              <w:top w:val="single" w:color="1B3527" w:sz="4"/>
              <w:left w:val="single" w:color="1B3527" w:sz="4"/>
              <w:bottom w:val="single" w:color="1B3527" w:sz="4"/>
              <w:right w:val="single" w:color="1B3527" w:sz="4"/>
            </w:tcBorders>
            <w:shd w:fill="1B3527" w:val="clear"/>
            <w:tcMar>
              <w:top w:type="dxa" w:w="80"/>
              <w:left w:type="dxa" w:w="160"/>
              <w:bottom w:type="dxa" w:w="8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Parametro</w:t>
            </w:r>
          </w:p>
        </w:tc>
        <w:tc>
          <w:tcPr>
            <w:tcW w:type="dxa" w:w="2200"/>
            <w:tcBorders>
              <w:top w:val="single" w:color="1B3527" w:sz="4"/>
              <w:left w:val="single" w:color="1B3527" w:sz="4"/>
              <w:bottom w:val="single" w:color="1B3527" w:sz="4"/>
              <w:right w:val="single" w:color="1B3527" w:sz="4"/>
            </w:tcBorders>
            <w:shd w:fill="1B3527" w:val="clear"/>
            <w:tcMar>
              <w:top w:type="dxa" w:w="80"/>
              <w:left w:type="dxa" w:w="160"/>
              <w:bottom w:type="dxa" w:w="8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Edicao 1 (2027)</w:t>
            </w:r>
          </w:p>
        </w:tc>
        <w:tc>
          <w:tcPr>
            <w:tcW w:type="dxa" w:w="2200"/>
            <w:tcBorders>
              <w:top w:val="single" w:color="1B3527" w:sz="4"/>
              <w:left w:val="single" w:color="1B3527" w:sz="4"/>
              <w:bottom w:val="single" w:color="1B3527" w:sz="4"/>
              <w:right w:val="single" w:color="1B3527" w:sz="4"/>
            </w:tcBorders>
            <w:shd w:fill="1B3527" w:val="clear"/>
            <w:tcMar>
              <w:top w:type="dxa" w:w="80"/>
              <w:left w:type="dxa" w:w="160"/>
              <w:bottom w:type="dxa" w:w="8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Edicao 2 (2028)</w:t>
            </w:r>
          </w:p>
        </w:tc>
        <w:tc>
          <w:tcPr>
            <w:tcW w:type="dxa" w:w="2226"/>
            <w:tcBorders>
              <w:top w:val="single" w:color="1B3527" w:sz="4"/>
              <w:left w:val="single" w:color="1B3527" w:sz="4"/>
              <w:bottom w:val="single" w:color="1B3527" w:sz="4"/>
              <w:right w:val="single" w:color="1B3527" w:sz="4"/>
            </w:tcBorders>
            <w:shd w:fill="1B3527" w:val="clear"/>
            <w:tcMar>
              <w:top w:type="dxa" w:w="80"/>
              <w:left w:type="dxa" w:w="160"/>
              <w:bottom w:type="dxa" w:w="8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Edicao 3 (2029)</w:t>
            </w:r>
          </w:p>
        </w:tc>
      </w:tr>
      <w:tr>
        <w:tc>
          <w:tcPr>
            <w:tcW w:type="dxa" w:w="24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Cidade anfitria</w:t>
            </w:r>
          </w:p>
        </w:tc>
        <w:tc>
          <w:tcPr>
            <w:tcW w:type="dxa" w:w="22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Guimaraes</w:t>
            </w:r>
          </w:p>
        </w:tc>
        <w:tc>
          <w:tcPr>
            <w:tcW w:type="dxa" w:w="22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A definir - Pentagono</w:t>
            </w:r>
          </w:p>
        </w:tc>
        <w:tc>
          <w:tcPr>
            <w:tcW w:type="dxa" w:w="2226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A definir - Pentagono</w:t>
            </w:r>
          </w:p>
        </w:tc>
      </w:tr>
      <w:tr>
        <w:tc>
          <w:tcPr>
            <w:tcW w:type="dxa" w:w="24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Nome da edicao</w:t>
            </w:r>
          </w:p>
        </w:tc>
        <w:tc>
          <w:tcPr>
            <w:tcW w:type="dxa" w:w="22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Berco da Nacao</w:t>
            </w:r>
          </w:p>
        </w:tc>
        <w:tc>
          <w:tcPr>
            <w:tcW w:type="dxa" w:w="22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A definir com cidade</w:t>
            </w:r>
          </w:p>
        </w:tc>
        <w:tc>
          <w:tcPr>
            <w:tcW w:type="dxa" w:w="2226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A definir com cidade</w:t>
            </w:r>
          </w:p>
        </w:tc>
      </w:tr>
      <w:tr>
        <w:tc>
          <w:tcPr>
            <w:tcW w:type="dxa" w:w="24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Operadores</w:t>
            </w:r>
          </w:p>
        </w:tc>
        <w:tc>
          <w:tcPr>
            <w:tcW w:type="dxa" w:w="22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100-125</w:t>
            </w:r>
          </w:p>
        </w:tc>
        <w:tc>
          <w:tcPr>
            <w:tcW w:type="dxa" w:w="22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140-160</w:t>
            </w:r>
          </w:p>
        </w:tc>
        <w:tc>
          <w:tcPr>
            <w:tcW w:type="dxa" w:w="2226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160-200</w:t>
            </w:r>
          </w:p>
        </w:tc>
      </w:tr>
      <w:tr>
        <w:tc>
          <w:tcPr>
            <w:tcW w:type="dxa" w:w="24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Paises representados</w:t>
            </w:r>
          </w:p>
        </w:tc>
        <w:tc>
          <w:tcPr>
            <w:tcW w:type="dxa" w:w="22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18</w:t>
            </w:r>
          </w:p>
        </w:tc>
        <w:tc>
          <w:tcPr>
            <w:tcW w:type="dxa" w:w="22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22</w:t>
            </w:r>
          </w:p>
        </w:tc>
        <w:tc>
          <w:tcPr>
            <w:tcW w:type="dxa" w:w="2226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26</w:t>
            </w:r>
          </w:p>
        </w:tc>
      </w:tr>
      <w:tr>
        <w:tc>
          <w:tcPr>
            <w:tcW w:type="dxa" w:w="24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Orcamento total</w:t>
            </w:r>
          </w:p>
        </w:tc>
        <w:tc>
          <w:tcPr>
            <w:tcW w:type="dxa" w:w="22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345.000 EUR</w:t>
            </w:r>
          </w:p>
        </w:tc>
        <w:tc>
          <w:tcPr>
            <w:tcW w:type="dxa" w:w="22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450.000 EUR</w:t>
            </w:r>
          </w:p>
        </w:tc>
        <w:tc>
          <w:tcPr>
            <w:tcW w:type="dxa" w:w="2226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550.000 EUR</w:t>
            </w:r>
          </w:p>
        </w:tc>
      </w:tr>
      <w:tr>
        <w:tc>
          <w:tcPr>
            <w:tcW w:type="dxa" w:w="24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Contexto 900 Anos</w:t>
            </w:r>
          </w:p>
        </w:tc>
        <w:tc>
          <w:tcPr>
            <w:tcW w:type="dxa" w:w="22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Plenas comemoracoes</w:t>
            </w:r>
          </w:p>
        </w:tc>
        <w:tc>
          <w:tcPr>
            <w:tcW w:type="dxa" w:w="22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Apogio celebracoes</w:t>
            </w:r>
          </w:p>
        </w:tc>
        <w:tc>
          <w:tcPr>
            <w:tcW w:type="dxa" w:w="2226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Legado pos-centenario</w:t>
            </w:r>
          </w:p>
        </w:tc>
      </w:tr>
      <w:tr>
        <w:tc>
          <w:tcPr>
            <w:tcW w:type="dxa" w:w="2400"/>
            <w:tcBorders>
              <w:top w:val="single" w:color="C49A28" w:sz="6"/>
              <w:left w:val="single" w:color="C49A28" w:sz="6"/>
              <w:bottom w:val="single" w:color="C49A28" w:sz="6"/>
              <w:right w:val="single" w:color="C49A28" w:sz="6"/>
            </w:tcBorders>
            <w:shd w:fill="C49A28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A1208"/>
                <w:sz w:val="20"/>
                <w:szCs w:val="20"/>
              </w:rPr>
              <w:t xml:space="preserve">Retorno / EUR1 publico</w:t>
            </w:r>
          </w:p>
        </w:tc>
        <w:tc>
          <w:tcPr>
            <w:tcW w:type="dxa" w:w="2200"/>
            <w:tcBorders>
              <w:top w:val="single" w:color="C49A28" w:sz="6"/>
              <w:left w:val="single" w:color="C49A28" w:sz="6"/>
              <w:bottom w:val="single" w:color="C49A28" w:sz="6"/>
              <w:right w:val="single" w:color="C49A28" w:sz="6"/>
            </w:tcBorders>
            <w:shd w:fill="FFF8E8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15,0</w:t>
            </w:r>
          </w:p>
        </w:tc>
        <w:tc>
          <w:tcPr>
            <w:tcW w:type="dxa" w:w="2200"/>
            <w:tcBorders>
              <w:top w:val="single" w:color="C49A28" w:sz="6"/>
              <w:left w:val="single" w:color="C49A28" w:sz="6"/>
              <w:bottom w:val="single" w:color="C49A28" w:sz="6"/>
              <w:right w:val="single" w:color="C49A28" w:sz="6"/>
            </w:tcBorders>
            <w:shd w:fill="FFF8E8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18,0</w:t>
            </w:r>
          </w:p>
        </w:tc>
        <w:tc>
          <w:tcPr>
            <w:tcW w:type="dxa" w:w="2226"/>
            <w:tcBorders>
              <w:top w:val="single" w:color="C49A28" w:sz="6"/>
              <w:left w:val="single" w:color="C49A28" w:sz="6"/>
              <w:bottom w:val="single" w:color="C49A28" w:sz="6"/>
              <w:right w:val="single" w:color="C49A28" w:sz="6"/>
            </w:tcBorders>
            <w:shd w:fill="FFF8E8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22,0</w:t>
            </w:r>
          </w:p>
        </w:tc>
      </w:tr>
    </w:tbl>
    <w:p>
      <w:r>
        <w:br w:type="page"/>
      </w:r>
    </w:p>
    <w:p>
      <w:pPr>
        <w:spacing w:after="0" w:before="400"/>
      </w:pPr>
      <w:r>
        <w:t xml:space="preserve"/>
      </w:r>
    </w:p>
    <w:p>
      <w:pPr>
        <w:shd w:fill="1B3527" w:val="clear"/>
        <w:spacing w:after="0" w:before="0"/>
      </w:pPr>
      <w:r>
        <w:rPr>
          <w:rFonts w:ascii="Arial" w:cs="Arial" w:eastAsia="Arial" w:hAnsi="Arial"/>
          <w:b/>
          <w:bCs/>
          <w:color w:val="FFFFFF"/>
          <w:spacing w:val="80"/>
          <w:sz w:val="28"/>
          <w:szCs w:val="28"/>
        </w:rPr>
        <w:t xml:space="preserve">  9. PROPOSTA DE PARCERIA A CAMARA MUNICIPAL  </w:t>
      </w:r>
    </w:p>
    <w:p>
      <w:pPr>
        <w:shd w:fill="2D5C42" w:val="clear"/>
        <w:spacing w:after="200" w:before="0"/>
      </w:pPr>
      <w:r>
        <w:rPr>
          <w:rFonts w:ascii="Arial" w:cs="Arial" w:eastAsia="Arial" w:hAnsi="Arial"/>
          <w:color w:val="E8D5A3"/>
          <w:sz w:val="20"/>
          <w:szCs w:val="20"/>
        </w:rPr>
        <w:t xml:space="preserve">  6 pedidos formais - 4 novos nesta versao</w:t>
      </w:r>
    </w:p>
    <w:p>
      <w:pPr>
        <w:pStyle w:val="Heading2"/>
        <w:spacing w:after="120" w:before="320"/>
      </w:pPr>
      <w:r>
        <w:rPr>
          <w:rFonts w:ascii="Georgia" w:cs="Georgia" w:eastAsia="Georgia" w:hAnsi="Georgia"/>
          <w:b/>
          <w:bCs/>
          <w:color w:val="1B3527"/>
          <w:sz w:val="28"/>
          <w:szCs w:val="28"/>
        </w:rPr>
        <w:t xml:space="preserve">9.1 O Que Pedimos a Camara Municipal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b/>
          <w:bCs/>
          <w:color w:val="1B3527"/>
          <w:sz w:val="22"/>
          <w:szCs w:val="22"/>
        </w:rPr>
        <w:t xml:space="preserve">01 - Parceiro Fundador e Anfitriao: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Validacao institucional, cedencia de espacos historicos, representacao nas sessoes plenarias e co-branding em toda a comunicacao.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b/>
          <w:bCs/>
          <w:color w:val="1B3527"/>
          <w:sz w:val="22"/>
          <w:szCs w:val="22"/>
        </w:rPr>
        <w:t xml:space="preserve">02 - Coordenacao do Mapeamento de Produtores [NOVO]: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A Camara coordena o levantamento e pre-seleccao de produtores, artesaos, AL e guias locais elegiveis.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b/>
          <w:bCs/>
          <w:color w:val="1B3527"/>
          <w:sz w:val="22"/>
          <w:szCs w:val="22"/>
        </w:rPr>
        <w:t xml:space="preserve">03 - Protocolo Compra Local Primeiro [NOVO]: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A Camara valida e certifica o protocolo de compra local - criterios de localizacao, qualidade e sustentabilidade.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b/>
          <w:bCs/>
          <w:color w:val="1B3527"/>
          <w:sz w:val="22"/>
          <w:szCs w:val="22"/>
        </w:rPr>
        <w:t xml:space="preserve">04 - Programa Dormir no Territorio [NOVO]: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Articulacao com AHRESP para mapear e integrar o AL do concelho - garantindo min. 30% dos operadores em AL vimaranense.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b/>
          <w:bCs/>
          <w:color w:val="1B3527"/>
          <w:sz w:val="22"/>
          <w:szCs w:val="22"/>
        </w:rPr>
        <w:t xml:space="preserve">05 - Candidatura ao Portugal Events: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Co-candidatura ao programa Portugal Events do Turismo de Portugal. Prazo: 1 de Setembro de 2025.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b/>
          <w:bCs/>
          <w:color w:val="1B3527"/>
          <w:sz w:val="22"/>
          <w:szCs w:val="22"/>
        </w:rPr>
        <w:t xml:space="preserve">06 - Relatorio de Impacto Publico [NOVO]: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Camara recebe relatorio completo pos-evento com metricas de ecossistema, compras locais, emprego e acordos.</w:t>
      </w:r>
    </w:p>
    <w:p>
      <w:pPr>
        <w:spacing w:after="0" w:before="120"/>
      </w:pPr>
      <w:r>
        <w:t xml:space="preserve"/>
      </w:r>
    </w:p>
    <w:p>
      <w:pPr>
        <w:pStyle w:val="Heading2"/>
        <w:spacing w:after="120" w:before="320"/>
      </w:pPr>
      <w:r>
        <w:rPr>
          <w:rFonts w:ascii="Georgia" w:cs="Georgia" w:eastAsia="Georgia" w:hAnsi="Georgia"/>
          <w:b/>
          <w:bCs/>
          <w:color w:val="1B3527"/>
          <w:sz w:val="28"/>
          <w:szCs w:val="28"/>
        </w:rPr>
        <w:t xml:space="preserve">9.2 Candidaturas a Apoio Publico</w:t>
      </w:r>
    </w:p>
    <w:p>
      <w:pPr>
        <w:spacing w:after="0" w:before="6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000"/>
        <w:gridCol w:w="1400"/>
        <w:gridCol w:w="3026"/>
      </w:tblGrid>
      <w:tr>
        <w:trPr>
          <w:tblHeader/>
        </w:trPr>
        <w:tc>
          <w:tcPr>
            <w:tcW w:type="dxa" w:w="2600"/>
            <w:tcBorders>
              <w:top w:val="single" w:color="1B3527" w:sz="4"/>
              <w:left w:val="single" w:color="1B3527" w:sz="4"/>
              <w:bottom w:val="single" w:color="1B3527" w:sz="4"/>
              <w:right w:val="single" w:color="1B3527" w:sz="4"/>
            </w:tcBorders>
            <w:shd w:fill="1B3527" w:val="clear"/>
            <w:tcMar>
              <w:top w:type="dxa" w:w="80"/>
              <w:left w:type="dxa" w:w="160"/>
              <w:bottom w:type="dxa" w:w="8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Programa</w:t>
            </w:r>
          </w:p>
        </w:tc>
        <w:tc>
          <w:tcPr>
            <w:tcW w:type="dxa" w:w="2000"/>
            <w:tcBorders>
              <w:top w:val="single" w:color="1B3527" w:sz="4"/>
              <w:left w:val="single" w:color="1B3527" w:sz="4"/>
              <w:bottom w:val="single" w:color="1B3527" w:sz="4"/>
              <w:right w:val="single" w:color="1B3527" w:sz="4"/>
            </w:tcBorders>
            <w:shd w:fill="1B3527" w:val="clear"/>
            <w:tcMar>
              <w:top w:type="dxa" w:w="80"/>
              <w:left w:type="dxa" w:w="160"/>
              <w:bottom w:type="dxa" w:w="8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Entidade</w:t>
            </w:r>
          </w:p>
        </w:tc>
        <w:tc>
          <w:tcPr>
            <w:tcW w:type="dxa" w:w="1400"/>
            <w:tcBorders>
              <w:top w:val="single" w:color="1B3527" w:sz="4"/>
              <w:left w:val="single" w:color="1B3527" w:sz="4"/>
              <w:bottom w:val="single" w:color="1B3527" w:sz="4"/>
              <w:right w:val="single" w:color="1B3527" w:sz="4"/>
            </w:tcBorders>
            <w:shd w:fill="1B3527" w:val="clear"/>
            <w:tcMar>
              <w:top w:type="dxa" w:w="80"/>
              <w:left w:type="dxa" w:w="160"/>
              <w:bottom w:type="dxa" w:w="8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Elegibilidade</w:t>
            </w:r>
          </w:p>
        </w:tc>
        <w:tc>
          <w:tcPr>
            <w:tcW w:type="dxa" w:w="3026"/>
            <w:tcBorders>
              <w:top w:val="single" w:color="1B3527" w:sz="4"/>
              <w:left w:val="single" w:color="1B3527" w:sz="4"/>
              <w:bottom w:val="single" w:color="1B3527" w:sz="4"/>
              <w:right w:val="single" w:color="1B3527" w:sz="4"/>
            </w:tcBorders>
            <w:shd w:fill="1B3527" w:val="clear"/>
            <w:tcMar>
              <w:top w:type="dxa" w:w="80"/>
              <w:left w:type="dxa" w:w="160"/>
              <w:bottom w:type="dxa" w:w="8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Prazo</w:t>
            </w:r>
          </w:p>
        </w:tc>
      </w:tr>
      <w:tr>
        <w:tc>
          <w:tcPr>
            <w:tcW w:type="dxa" w:w="26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Portugal Events</w:t>
            </w:r>
          </w:p>
        </w:tc>
        <w:tc>
          <w:tcPr>
            <w:tcW w:type="dxa" w:w="20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Turismo de Portugal</w:t>
            </w:r>
          </w:p>
        </w:tc>
        <w:tc>
          <w:tcPr>
            <w:tcW w:type="dxa" w:w="14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MUITO ALTA</w:t>
            </w:r>
          </w:p>
        </w:tc>
        <w:tc>
          <w:tcPr>
            <w:tcW w:type="dxa" w:w="3026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1 Set. 2025</w:t>
            </w:r>
          </w:p>
        </w:tc>
      </w:tr>
      <w:tr>
        <w:tc>
          <w:tcPr>
            <w:tcW w:type="dxa" w:w="26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Comissariado Nacional 900 Anos</w:t>
            </w:r>
          </w:p>
        </w:tc>
        <w:tc>
          <w:tcPr>
            <w:tcW w:type="dxa" w:w="20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Ministerio da Cultura</w:t>
            </w:r>
          </w:p>
        </w:tc>
        <w:tc>
          <w:tcPr>
            <w:tcW w:type="dxa" w:w="14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MUITO ALTA</w:t>
            </w:r>
          </w:p>
        </w:tc>
        <w:tc>
          <w:tcPr>
            <w:tcW w:type="dxa" w:w="3026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Abertura 2025</w:t>
            </w:r>
          </w:p>
        </w:tc>
      </w:tr>
      <w:tr>
        <w:tc>
          <w:tcPr>
            <w:tcW w:type="dxa" w:w="26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Portugal 2030 - Turismo Sustentavel</w:t>
            </w:r>
          </w:p>
        </w:tc>
        <w:tc>
          <w:tcPr>
            <w:tcW w:type="dxa" w:w="20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Fundos Europeus</w:t>
            </w:r>
          </w:p>
        </w:tc>
        <w:tc>
          <w:tcPr>
            <w:tcW w:type="dxa" w:w="14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ALTA</w:t>
            </w:r>
          </w:p>
        </w:tc>
        <w:tc>
          <w:tcPr>
            <w:tcW w:type="dxa" w:w="3026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Janela 2025-26</w:t>
            </w:r>
          </w:p>
        </w:tc>
      </w:tr>
      <w:tr>
        <w:tc>
          <w:tcPr>
            <w:tcW w:type="dxa" w:w="26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TPNP - Turismo Porto e Norte</w:t>
            </w:r>
          </w:p>
        </w:tc>
        <w:tc>
          <w:tcPr>
            <w:tcW w:type="dxa" w:w="20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TPNP</w:t>
            </w:r>
          </w:p>
        </w:tc>
        <w:tc>
          <w:tcPr>
            <w:tcW w:type="dxa" w:w="14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ALTA</w:t>
            </w:r>
          </w:p>
        </w:tc>
        <w:tc>
          <w:tcPr>
            <w:tcW w:type="dxa" w:w="3026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Candidatura directa</w:t>
            </w:r>
          </w:p>
        </w:tc>
      </w:tr>
      <w:tr>
        <w:tc>
          <w:tcPr>
            <w:tcW w:type="dxa" w:w="26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Creative Europe - Cultural Heritage</w:t>
            </w:r>
          </w:p>
        </w:tc>
        <w:tc>
          <w:tcPr>
            <w:tcW w:type="dxa" w:w="20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Uniao Europeia</w:t>
            </w:r>
          </w:p>
        </w:tc>
        <w:tc>
          <w:tcPr>
            <w:tcW w:type="dxa" w:w="14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MEDIA</w:t>
            </w:r>
          </w:p>
        </w:tc>
        <w:tc>
          <w:tcPr>
            <w:tcW w:type="dxa" w:w="3026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Abr/Out anuais</w:t>
            </w:r>
          </w:p>
        </w:tc>
      </w:tr>
    </w:tbl>
    <w:p>
      <w:r>
        <w:br w:type="page"/>
      </w:r>
    </w:p>
    <w:p>
      <w:pPr>
        <w:spacing w:after="0" w:before="400"/>
      </w:pPr>
      <w:r>
        <w:t xml:space="preserve"/>
      </w:r>
    </w:p>
    <w:p>
      <w:pPr>
        <w:shd w:fill="1B3527" w:val="clear"/>
        <w:spacing w:after="0" w:before="0"/>
      </w:pPr>
      <w:r>
        <w:rPr>
          <w:rFonts w:ascii="Arial" w:cs="Arial" w:eastAsia="Arial" w:hAnsi="Arial"/>
          <w:b/>
          <w:bCs/>
          <w:color w:val="FFFFFF"/>
          <w:spacing w:val="80"/>
          <w:sz w:val="28"/>
          <w:szCs w:val="28"/>
        </w:rPr>
        <w:t xml:space="preserve">  10. PROXIMOS PASSOS E CRONOGRAMA  </w:t>
      </w:r>
    </w:p>
    <w:p>
      <w:pPr>
        <w:shd w:fill="2D5C42" w:val="clear"/>
        <w:spacing w:after="200" w:before="0"/>
      </w:pPr>
      <w:r>
        <w:rPr>
          <w:rFonts w:ascii="Arial" w:cs="Arial" w:eastAsia="Arial" w:hAnsi="Arial"/>
          <w:color w:val="E8D5A3"/>
          <w:sz w:val="20"/>
          <w:szCs w:val="20"/>
        </w:rPr>
        <w:t xml:space="preserve">  Da aprovacao ao evento</w:t>
      </w:r>
    </w:p>
    <w:p>
      <w:pPr>
        <w:pStyle w:val="Heading2"/>
        <w:spacing w:after="120" w:before="320"/>
      </w:pPr>
      <w:r>
        <w:rPr>
          <w:rFonts w:ascii="Georgia" w:cs="Georgia" w:eastAsia="Georgia" w:hAnsi="Georgia"/>
          <w:b/>
          <w:bCs/>
          <w:color w:val="1B3527"/>
          <w:sz w:val="28"/>
          <w:szCs w:val="28"/>
        </w:rPr>
        <w:t xml:space="preserve">10.1 Fases do Projecto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b/>
          <w:bCs/>
          <w:color w:val="1B3527"/>
          <w:sz w:val="22"/>
          <w:szCs w:val="22"/>
        </w:rPr>
        <w:t xml:space="preserve">Fase 1 - Validacao Institucional (imediato):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Aprovacao pela Camara Municipal - Protocolo assinado - Submissao Portugal Events (1 Set. 2025).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b/>
          <w:bCs/>
          <w:color w:val="1B3527"/>
          <w:sz w:val="22"/>
          <w:szCs w:val="22"/>
        </w:rPr>
        <w:t xml:space="preserve">Fase 2 - Mapeamento Ecossistema (Meses 1-2):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Levantamento produtores, AL, guias e artesaos - Publicacao criterios Selo Berco da Nacao.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b/>
          <w:bCs/>
          <w:color w:val="1B3527"/>
          <w:sz w:val="22"/>
          <w:szCs w:val="22"/>
        </w:rPr>
        <w:t xml:space="preserve">Fase 3 - Estruturacao (Meses 3-6):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Parcerias TAP, CP, Pousada Mosteiro - Equipa de producao - Protocolo compra local.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b/>
          <w:bCs/>
          <w:color w:val="1B3527"/>
          <w:sz w:val="22"/>
          <w:szCs w:val="22"/>
        </w:rPr>
        <w:t xml:space="preserve">Fase 4 - Promocao Internacional (Meses 6-12):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Roadshow Brasil (SP, RJ, BSB) - Campanha digital 6 mercados - Lancamento inscricoes.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b/>
          <w:bCs/>
          <w:color w:val="1B3527"/>
          <w:sz w:val="22"/>
          <w:szCs w:val="22"/>
        </w:rPr>
        <w:t xml:space="preserve">Fase 5 - Preparacao (Meses 12-18):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Confirmacao famtrips e guias - Press trips - Pre-agendamento B2B.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b/>
          <w:bCs/>
          <w:color w:val="1B3527"/>
          <w:sz w:val="22"/>
          <w:szCs w:val="22"/>
        </w:rPr>
        <w:t xml:space="preserve">Fase 6 - Evento Setembro 2027: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5 dias - Guimaraes - 150 operadores - 22 paises - 8 rotas - Relatorio impacto em 30 dias.</w:t>
      </w:r>
    </w:p>
    <w:p>
      <w:pPr>
        <w:spacing w:after="0" w:before="120"/>
      </w:pPr>
      <w:r>
        <w:t xml:space="preserve"/>
      </w:r>
    </w:p>
    <w:p>
      <w:pPr>
        <w:pStyle w:val="Heading2"/>
        <w:spacing w:after="120" w:before="320"/>
      </w:pPr>
      <w:r>
        <w:rPr>
          <w:rFonts w:ascii="Georgia" w:cs="Georgia" w:eastAsia="Georgia" w:hAnsi="Georgia"/>
          <w:b/>
          <w:bCs/>
          <w:color w:val="1B3527"/>
          <w:sz w:val="28"/>
          <w:szCs w:val="28"/>
        </w:rPr>
        <w:t xml:space="preserve">10.2 Contactos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b/>
          <w:bCs/>
          <w:color w:val="1B3527"/>
          <w:sz w:val="22"/>
          <w:szCs w:val="22"/>
        </w:rPr>
        <w:t xml:space="preserve">Email: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info@bercodobundo.pt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b/>
          <w:bCs/>
          <w:color w:val="1B3527"/>
          <w:sz w:val="22"/>
          <w:szCs w:val="22"/>
        </w:rPr>
        <w:t xml:space="preserve">Patrocinios: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parcerias@bercodobundo.pt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b/>
          <w:bCs/>
          <w:color w:val="1B3527"/>
          <w:sz w:val="22"/>
          <w:szCs w:val="22"/>
        </w:rPr>
        <w:t xml:space="preserve">Website: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visitguimaraes.travel</w:t>
      </w:r>
    </w:p>
    <w:p>
      <w:pPr>
        <w:spacing w:after="0" w:before="200"/>
      </w:pPr>
      <w:r>
        <w:t xml:space="preserve"/>
      </w:r>
    </w:p>
    <w:p>
      <w:pPr>
        <w:pBdr>
          <w:top w:val="single" w:color="C49A28" w:sz="4"/>
          <w:bottom w:val="single" w:color="C49A28" w:sz="4"/>
          <w:left w:val="single" w:color="C49A28" w:sz="20"/>
          <w:right w:val="none"/>
        </w:pBdr>
        <w:shd w:fill="FFF8E8" w:val="clear"/>
        <w:spacing w:after="160" w:before="160"/>
      </w:pPr>
      <w:r>
        <w:rPr>
          <w:rFonts w:ascii="Arial" w:cs="Arial" w:eastAsia="Arial" w:hAnsi="Arial"/>
          <w:b/>
          <w:bCs/>
          <w:color w:val="1B3527"/>
          <w:sz w:val="22"/>
          <w:szCs w:val="22"/>
        </w:rPr>
        <w:t xml:space="preserve">"Do Berco da Nacao ao Berco da Inovacao. Guimaraes recebe o mundo em Setembro 2027."</w:t>
      </w:r>
    </w:p>
    <w:p>
      <w:pPr>
        <w:spacing w:after="0" w:before="80"/>
      </w:pPr>
      <w:r>
        <w:t xml:space="preserve"/>
      </w:r>
    </w:p>
    <w:p>
      <w:pPr>
        <w:spacing w:after="0" w:before="160"/>
        <w:jc w:val="center"/>
      </w:pPr>
      <w:r>
        <w:rPr>
          <w:rFonts w:ascii="Georgia" w:cs="Georgia" w:eastAsia="Georgia" w:hAnsi="Georgia"/>
          <w:color w:val="8C7A6A"/>
          <w:sz w:val="24"/>
          <w:szCs w:val="24"/>
        </w:rPr>
        <w:t xml:space="preserve">ORIGIN Summit - Berco da Nacao - Guimaraes - Portugal - 1128-2028</w:t>
      </w:r>
    </w:p>
    <w:sectPr>
      <w:headerReference w:type="default" r:id="rId7"/>
      <w:footerReference w:type="default" r:id="rId8"/>
      <w:pgSz w:w="11906" w:h="16838" w:orient="portrait"/>
      <w:pgMar w:top="1440" w:right="126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49A28" w:sz="4" w:space="1"/>
      </w:pBdr>
      <w:jc w:val="center"/>
    </w:pPr>
    <w:r>
      <w:rPr>
        <w:rFonts w:ascii="Arial" w:cs="Arial" w:eastAsia="Arial" w:hAnsi="Arial"/>
        <w:color w:val="8C7A6A"/>
        <w:sz w:val="16"/>
        <w:szCs w:val="16"/>
      </w:rPr>
      <w:t xml:space="preserve">Guimaraes - Portugal - 1128-2028  |  info@bercodobundo.pt  |  pag. </w:t>
    </w:r>
    <w:r>
      <w:rPr>
        <w:rFonts w:ascii="Arial" w:cs="Arial" w:eastAsia="Arial" w:hAnsi="Arial"/>
        <w:color w:val="8C7A6A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49A28" w:sz="6" w:space="1"/>
      </w:pBdr>
      <w:jc w:val="right"/>
    </w:pPr>
    <w:r>
      <w:rPr>
        <w:rFonts w:ascii="Arial" w:cs="Arial" w:eastAsia="Arial" w:hAnsi="Arial"/>
        <w:color w:val="8C7A6A"/>
        <w:spacing w:val="40"/>
        <w:sz w:val="16"/>
        <w:szCs w:val="16"/>
      </w:rPr>
      <w:t xml:space="preserve">BERCO DA NACAO - ORIGIN SUMMIT - DOCUMENTO ESTRUTURANTE - SETEMBRO 2027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▸"/>
      <w:lvlJc w:val="left"/>
      <w:pPr>
        <w:ind w:left="560" w:hanging="280"/>
      </w:pPr>
      <w:rPr>
        <w:rFonts w:ascii="Arial" w:cs="Arial" w:eastAsia="Arial" w:hAnsi="Arial"/>
        <w:color w:val="C49A28"/>
        <w:sz w:val="22"/>
        <w:szCs w:val="22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480"/>
      <w:outlineLvl w:val="0"/>
    </w:pPr>
    <w:rPr>
      <w:rFonts w:ascii="Georgia" w:cs="Georgia" w:eastAsia="Georgia" w:hAnsi="Georgia"/>
      <w:b/>
      <w:bCs/>
      <w:color w:val="1B3527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20"/>
      <w:outlineLvl w:val="1"/>
    </w:pPr>
    <w:rPr>
      <w:rFonts w:ascii="Georgia" w:cs="Georgia" w:eastAsia="Georgia" w:hAnsi="Georgia"/>
      <w:b/>
      <w:bCs/>
      <w:color w:val="1B3527"/>
      <w:sz w:val="28"/>
      <w:szCs w:val="28"/>
    </w:rPr>
  </w:style>
  <w:style w:type="paragraph" w:styleId="Heading3">
    <w:name w:val="Heading 3"/>
    <w:basedOn w:val="Normal"/>
    <w:next w:val="Normal"/>
    <w:qFormat/>
    <w:pPr>
      <w:spacing w:after="80" w:before="240"/>
      <w:outlineLvl w:val="2"/>
    </w:pPr>
    <w:rPr>
      <w:rFonts w:ascii="Arial" w:cs="Arial" w:eastAsia="Arial" w:hAnsi="Arial"/>
      <w:b/>
      <w:bCs/>
      <w:color w:val="2D5C42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Berco da Nacao - Documento Estruturante 2027</dc:title>
  <dc:creator>Un-named</dc:creator>
  <cp:lastModifiedBy>Un-named</cp:lastModifiedBy>
  <cp:revision>1</cp:revision>
  <dcterms:created xsi:type="dcterms:W3CDTF">2026-06-06T07:16:54.885Z</dcterms:created>
  <dcterms:modified xsi:type="dcterms:W3CDTF">2026-06-06T07:16:54.899Z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